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E74B04" w:rsidRPr="000546D0" w:rsidTr="00C957C0">
        <w:trPr>
          <w:trHeight w:val="1423"/>
          <w:jc w:val="center"/>
        </w:trPr>
        <w:tc>
          <w:tcPr>
            <w:tcW w:w="8891" w:type="dxa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093D49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B04" w:rsidRPr="000546D0" w:rsidRDefault="00093D49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 w:rsidTr="00C957C0">
        <w:trPr>
          <w:trHeight w:val="240"/>
          <w:jc w:val="center"/>
        </w:trPr>
        <w:tc>
          <w:tcPr>
            <w:tcW w:w="8891" w:type="dxa"/>
            <w:shd w:val="clear" w:color="auto" w:fill="FFFFFF"/>
          </w:tcPr>
          <w:p w:rsidR="00E74B04" w:rsidRPr="002C5BFA" w:rsidRDefault="00C957C0" w:rsidP="006D7663">
            <w:pPr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tema</w: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: </w:t>
            </w:r>
            <w:r w:rsidR="00E74B0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873937" w:rsidRPr="00873937">
              <w:rPr>
                <w:rFonts w:ascii="Times New Roman" w:hAnsi="Times New Roman" w:cs="Arial"/>
                <w:bCs/>
                <w:sz w:val="22"/>
                <w:szCs w:val="22"/>
                <w:lang w:val="es-MX"/>
              </w:rPr>
              <w:t xml:space="preserve">Seminario de investigación – Temas selectos de investigación mesoamericana. Antropología. </w:t>
            </w:r>
            <w:r w:rsidR="002C5BFA" w:rsidRPr="007B0F55">
              <w:rPr>
                <w:rFonts w:ascii="Times New Roman" w:hAnsi="Times New Roman" w:cs="Arial"/>
                <w:bCs/>
                <w:sz w:val="22"/>
                <w:szCs w:val="22"/>
                <w:lang w:val="es-MX"/>
              </w:rPr>
              <w:t>Teoría Crítica. Antropología histórica</w:t>
            </w:r>
          </w:p>
        </w:tc>
      </w:tr>
      <w:tr w:rsidR="00C957C0" w:rsidRPr="000546D0" w:rsidTr="00C957C0">
        <w:trPr>
          <w:trHeight w:val="240"/>
          <w:jc w:val="center"/>
        </w:trPr>
        <w:tc>
          <w:tcPr>
            <w:tcW w:w="8891" w:type="dxa"/>
            <w:shd w:val="clear" w:color="auto" w:fill="FFFFFF"/>
          </w:tcPr>
          <w:p w:rsidR="00C957C0" w:rsidRPr="000546D0" w:rsidRDefault="00C957C0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Número de horas semanales:</w:t>
            </w:r>
            <w:r w:rsidRPr="002C5BF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2C5BFA" w:rsidRPr="002C5BFA">
              <w:rPr>
                <w:rFonts w:ascii="Arial" w:hAnsi="Arial" w:cs="Arial"/>
                <w:bCs/>
                <w:sz w:val="22"/>
                <w:szCs w:val="22"/>
                <w:lang w:val="es-MX"/>
              </w:rPr>
              <w:t>4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5"/>
      </w:tblGrid>
      <w:tr w:rsidR="00E74B04" w:rsidRPr="000546D0" w:rsidTr="002C5BFA">
        <w:trPr>
          <w:trHeight w:val="375"/>
          <w:jc w:val="center"/>
        </w:trPr>
        <w:tc>
          <w:tcPr>
            <w:tcW w:w="8805" w:type="dxa"/>
          </w:tcPr>
          <w:p w:rsidR="00E05383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C12683" w:rsidRDefault="00A80CDD" w:rsidP="00E74B04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El propósito de este curso es dotar al alumno de las herramientas teóricas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para abordar, de </w:t>
            </w:r>
            <w:proofErr w:type="gramStart"/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manera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amplia</w:t>
            </w:r>
            <w:proofErr w:type="gramEnd"/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y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actualizada, el estudio de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los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pasados indígenas en Mesoamérica y otras regiones culturales del mundo desde la perspectiv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a </w:t>
            </w:r>
            <w:r w:rsidR="00F24D90">
              <w:rPr>
                <w:rFonts w:ascii="Times New Roman" w:hAnsi="Times New Roman"/>
                <w:sz w:val="22"/>
                <w:szCs w:val="22"/>
                <w:lang w:val="es-ES"/>
              </w:rPr>
              <w:t>de la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Antropología Histórica. </w:t>
            </w:r>
            <w:r w:rsidR="00C1268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Se busca sobre todo desarrollar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un pensamiento crítico y amplio</w:t>
            </w:r>
            <w:r w:rsidR="00C1268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que no se limite a un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a sola aproximación o escuela; así mismo se busca</w:t>
            </w:r>
            <w:r w:rsidR="00C1268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hacer </w:t>
            </w:r>
            <w:r w:rsidR="00C12683">
              <w:rPr>
                <w:rFonts w:ascii="Times New Roman" w:hAnsi="Times New Roman"/>
                <w:sz w:val="22"/>
                <w:szCs w:val="22"/>
                <w:lang w:val="es-ES"/>
              </w:rPr>
              <w:t>énfasis en lecturas cruzadas y en la comparación crítica entre Mesoamérica y otras regiones mundiales.</w:t>
            </w:r>
          </w:p>
          <w:p w:rsidR="007B0F55" w:rsidRDefault="00C12683" w:rsidP="00E74B04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>E</w:t>
            </w:r>
            <w:r w:rsidR="00A80CDD">
              <w:rPr>
                <w:rFonts w:ascii="Times New Roman" w:hAnsi="Times New Roman"/>
                <w:sz w:val="22"/>
                <w:szCs w:val="22"/>
                <w:lang w:val="es-ES"/>
              </w:rPr>
              <w:t>l curso se estructura en torno a la</w:t>
            </w:r>
            <w:r w:rsidR="009838C7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lectura d</w:t>
            </w:r>
            <w:r w:rsidR="00A80CD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e 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algunos de </w:t>
            </w:r>
            <w:r w:rsidR="009838C7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los </w:t>
            </w:r>
            <w:r w:rsidR="00A80CDD">
              <w:rPr>
                <w:rFonts w:ascii="Times New Roman" w:hAnsi="Times New Roman"/>
                <w:sz w:val="22"/>
                <w:szCs w:val="22"/>
                <w:lang w:val="es-ES"/>
              </w:rPr>
              <w:t>textos formativos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de la Antropología Histórica</w:t>
            </w:r>
            <w:r w:rsidR="00A80CD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,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entendida en sentido amplio. El pensamiento de esta tendencia se ha ido desarrollando</w:t>
            </w:r>
            <w:r w:rsidR="007B0F5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 lo largo d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el último medio siglo en torno a problemas </w:t>
            </w:r>
            <w:r w:rsidR="00E61742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que a veces han coincidido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o </w:t>
            </w:r>
            <w:proofErr w:type="spellStart"/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sobrelapado</w:t>
            </w:r>
            <w:proofErr w:type="spellEnd"/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E61742">
              <w:rPr>
                <w:rFonts w:ascii="Times New Roman" w:hAnsi="Times New Roman"/>
                <w:sz w:val="22"/>
                <w:szCs w:val="22"/>
                <w:lang w:val="es-ES"/>
              </w:rPr>
              <w:t>con los de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subdisciplinas afines, como 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la historia cultural, la historia social, y la 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historia global/mundial. Sin embargo,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la bibliografía básica no consiste en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una mezcla de lecturas propias de aquellas otras subdisciplinas, sino de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textos clave que 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>permitir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án a 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>l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os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alumno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s explorar y comprender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las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aportaciones 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>que para e</w:t>
            </w:r>
            <w:r w:rsidR="007B0F5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 estudio de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sociedades, </w:t>
            </w:r>
            <w:r w:rsidR="007B0F55">
              <w:rPr>
                <w:rFonts w:ascii="Times New Roman" w:hAnsi="Times New Roman"/>
                <w:sz w:val="22"/>
                <w:szCs w:val="22"/>
                <w:lang w:val="es-ES"/>
              </w:rPr>
              <w:t>espacios y tiempos indígenas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han emergido de</w:t>
            </w:r>
            <w:r w:rsidR="000977B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la A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>ntropologí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a Histórica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  <w:p w:rsidR="00481FC0" w:rsidRDefault="007B0F55" w:rsidP="00E74B04">
            <w:pPr>
              <w:pStyle w:val="Textoindependiente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>Es importante enfatizar el carácter distintivo de la Antropología Hi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stórica con relación a 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>otras aproximaciones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afines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, las cuales en su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mayoría representan </w:t>
            </w:r>
            <w:proofErr w:type="spellStart"/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subescuelas</w:t>
            </w:r>
            <w:proofErr w:type="spellEnd"/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la Historia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mientras que la A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>ntropologí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a H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>istó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rica se define por una gama diversa de herramientas conceptuales y metodológicas que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se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han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desarrollado casi por igual desde la antropología y de la historia,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da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do paso a giros radicales en nuestro entendimiento del tiempo, el espacio y lo social en distintos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momentos y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contextos culturales.</w:t>
            </w:r>
          </w:p>
          <w:p w:rsidR="00E74B04" w:rsidRPr="002C5BFA" w:rsidRDefault="007B0F55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Con estos objetivos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en mente,</w:t>
            </w:r>
            <w:r w:rsidR="00A12D4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se 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>llevar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án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 cabo ejercicios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que permitan un acercamiento crítico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con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autores y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planteamientos.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Los temas a discutir incluirán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temporalidad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(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sentidos distintos de 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>la historia y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pasado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>)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construcciones del espacio y 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paisaje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cultural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, perspectivas sobre la materialidad y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la vida social de los objetos,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el entrelazamiento entre la forma que toma la sociedad y sus sistemas políticos,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así como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diversidad en la idea del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>poder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>, la persona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y 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la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agencia</w:t>
            </w:r>
            <w:r w:rsidR="00746BB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histórica</w:t>
            </w:r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>, así como un enfoque sobre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dinámicas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socio-ambientales</w:t>
            </w:r>
            <w:proofErr w:type="gramEnd"/>
            <w:r w:rsidR="00523D0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en el tiempo</w:t>
            </w:r>
            <w:r w:rsidR="002C5BFA" w:rsidRPr="002C5BFA"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  <w:p w:rsidR="00E74B04" w:rsidRPr="006A46D8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0546D0" w:rsidTr="002C5BFA">
        <w:trPr>
          <w:trHeight w:val="948"/>
          <w:jc w:val="center"/>
        </w:trPr>
        <w:tc>
          <w:tcPr>
            <w:tcW w:w="8805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E74B04" w:rsidRPr="00A10E49" w:rsidRDefault="007B0F55" w:rsidP="00DD2CCE">
            <w:pPr>
              <w:pStyle w:val="Textoindependiente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</w:pPr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 xml:space="preserve">Entre los objetivos </w:t>
            </w:r>
            <w:r w:rsidR="00746BB1"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>específicos están:</w:t>
            </w:r>
          </w:p>
          <w:p w:rsidR="00746BB1" w:rsidRPr="00A10E49" w:rsidRDefault="00746BB1" w:rsidP="00DD2CCE">
            <w:pPr>
              <w:pStyle w:val="Textoindependiente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</w:pPr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>1) Ofrecer una panorámica al desarrollo teórico que ha dado forma a la Antropología Histórica, así como el lugar que ocupa en la historiografía de pueblos indígenas en México y otras regiones del mundo – notablemente, Asia y el Pacífico.</w:t>
            </w:r>
          </w:p>
          <w:p w:rsidR="00746BB1" w:rsidRPr="00A10E49" w:rsidRDefault="00746BB1" w:rsidP="00746BB1">
            <w:pPr>
              <w:pStyle w:val="Textoindependiente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</w:pPr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 xml:space="preserve">2) Acercar a los alumnos a la lectura crítica de fuentes primarias de muy diversa índole – por </w:t>
            </w:r>
            <w:proofErr w:type="gramStart"/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>ejemplo</w:t>
            </w:r>
            <w:proofErr w:type="gramEnd"/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 xml:space="preserve"> los códices mesoamericanos, las formas iconográficas de distintas sociedades indígenas, y los testimonios orales – con tal de sensibilizarlos al hecho de que la reconstrucción de pasados indígenas requiere de una gama amplia, a veces inesperada, de herramientas.</w:t>
            </w:r>
          </w:p>
          <w:p w:rsidR="00746BB1" w:rsidRPr="00A10E49" w:rsidRDefault="00746BB1" w:rsidP="00746BB1">
            <w:pPr>
              <w:pStyle w:val="Textoindependiente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</w:pPr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>3) Hacer énfasis en las formas que toma la imaginación e invocación del pasado en diferentes contextos culturales. Esto incluye mitos, genealogías, paisajes significativos,</w:t>
            </w:r>
            <w:r w:rsidR="00C12683"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 xml:space="preserve"> y toda una gama de </w:t>
            </w:r>
            <w:r w:rsidR="00C12683"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lastRenderedPageBreak/>
              <w:t>productos y formas socioculturales. Con ello, se busca demostrar cómo la forma que toma el tiempo y el espacio es indisociable de la forma que toma la sociedad desde la cual emergen.</w:t>
            </w:r>
          </w:p>
          <w:p w:rsidR="00C12683" w:rsidRPr="00A10E49" w:rsidRDefault="00C12683" w:rsidP="00746BB1">
            <w:pPr>
              <w:pStyle w:val="Textoindependiente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</w:pPr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 xml:space="preserve">4) Invitar a los alumnos a la reflexión crítica a partir de la lectura cruzada de textos teóricos y monográficos, con el propósito de que desarrollen lecturas y pensamiento crítico que les permitan distinguir entre escuelas y aproximaciones. Esto es consistente con la vocación amplia e inclusiva del curso, </w:t>
            </w:r>
            <w:r w:rsidRPr="00A10E49">
              <w:rPr>
                <w:rFonts w:ascii="Times New Roman" w:hAnsi="Times New Roman" w:cs="Arial"/>
                <w:bCs/>
                <w:i/>
                <w:iCs/>
                <w:color w:val="000000"/>
                <w:sz w:val="22"/>
                <w:szCs w:val="22"/>
                <w:lang w:val="es-MX"/>
              </w:rPr>
              <w:t>el cual busca ampliar horizontes teóricos y no únicamente proponer una serie canónica o dominante de lecturas y pensamiento</w:t>
            </w:r>
            <w:r w:rsidRPr="00A10E49">
              <w:rPr>
                <w:rFonts w:ascii="Times New Roman" w:hAnsi="Times New Roman" w:cs="Arial"/>
                <w:bCs/>
                <w:color w:val="000000"/>
                <w:sz w:val="22"/>
                <w:szCs w:val="22"/>
                <w:lang w:val="es-MX"/>
              </w:rPr>
              <w:t>.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2C5BF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2C5BF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2C5BFA">
              <w:rPr>
                <w:rFonts w:ascii="Arial Narrow" w:hAnsi="Arial Narrow" w:cs="Arial"/>
                <w:b/>
                <w:sz w:val="20"/>
                <w:lang w:val="es-ES"/>
              </w:rPr>
              <w:t>Índice temático</w:t>
            </w:r>
          </w:p>
        </w:tc>
      </w:tr>
      <w:tr w:rsidR="00E74B04" w:rsidRPr="002C5BF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2C5BF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2C5BFA">
              <w:rPr>
                <w:rFonts w:ascii="Arial Narrow" w:hAnsi="Arial Narrow" w:cs="Arial"/>
                <w:b/>
                <w:sz w:val="20"/>
                <w:lang w:val="es-ES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2C5BF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2C5BFA">
              <w:rPr>
                <w:rFonts w:ascii="Arial Narrow" w:hAnsi="Arial Narrow" w:cs="Arial"/>
                <w:b/>
                <w:sz w:val="20"/>
                <w:lang w:val="es-ES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2C5BF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2C5BFA">
              <w:rPr>
                <w:rFonts w:ascii="Arial Narrow" w:hAnsi="Arial Narrow" w:cs="Arial"/>
                <w:b/>
                <w:sz w:val="20"/>
                <w:lang w:val="es-ES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2C5BF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2C5BF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5BFA">
              <w:rPr>
                <w:rFonts w:ascii="Arial Narrow" w:hAnsi="Arial Narrow" w:cs="Arial"/>
                <w:b/>
                <w:sz w:val="20"/>
                <w:lang w:val="es-ES"/>
              </w:rPr>
              <w:t>Teórica</w:t>
            </w:r>
            <w:r w:rsidRPr="00F3659A">
              <w:rPr>
                <w:rFonts w:ascii="Arial Narrow" w:hAnsi="Arial Narrow" w:cs="Arial"/>
                <w:b/>
                <w:sz w:val="20"/>
              </w:rPr>
              <w:t>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C80A9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E74B04" w:rsidRPr="00A10E49" w:rsidRDefault="00C80A9D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Introducción a la Antropología Histórica: problemas y temas clave</w:t>
            </w:r>
          </w:p>
        </w:tc>
        <w:tc>
          <w:tcPr>
            <w:tcW w:w="1080" w:type="dxa"/>
            <w:vAlign w:val="center"/>
          </w:tcPr>
          <w:p w:rsidR="00E74B04" w:rsidRPr="00C80A9D" w:rsidRDefault="00C80A9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C80A9D" w:rsidRPr="00C80A9D" w:rsidRDefault="00C80A9D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3</w:t>
            </w:r>
          </w:p>
        </w:tc>
      </w:tr>
      <w:tr w:rsidR="00C80A9D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C80A9D" w:rsidRDefault="00C80A9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580" w:type="dxa"/>
          </w:tcPr>
          <w:p w:rsidR="00C80A9D" w:rsidRPr="00A10E49" w:rsidRDefault="00C80A9D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Formas sociales, formas temporales</w:t>
            </w:r>
          </w:p>
        </w:tc>
        <w:tc>
          <w:tcPr>
            <w:tcW w:w="1080" w:type="dxa"/>
            <w:vAlign w:val="center"/>
          </w:tcPr>
          <w:p w:rsidR="00C80A9D" w:rsidRDefault="00C80A9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C80A9D" w:rsidRDefault="00E34BE5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C80A9D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C80A9D" w:rsidRDefault="00C80A9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580" w:type="dxa"/>
          </w:tcPr>
          <w:p w:rsidR="00C80A9D" w:rsidRPr="00A10E49" w:rsidRDefault="00C80A9D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Temporalidades diversas</w:t>
            </w:r>
          </w:p>
        </w:tc>
        <w:tc>
          <w:tcPr>
            <w:tcW w:w="1080" w:type="dxa"/>
            <w:vAlign w:val="center"/>
          </w:tcPr>
          <w:p w:rsidR="00C80A9D" w:rsidRDefault="00C80A9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C80A9D" w:rsidRDefault="00E34BE5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C80A9D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C80A9D" w:rsidRDefault="00C80A9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580" w:type="dxa"/>
          </w:tcPr>
          <w:p w:rsidR="00C80A9D" w:rsidRPr="00A10E49" w:rsidRDefault="00C80A9D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Pluralidad de fuentes para la reconstrucción del pasado</w:t>
            </w:r>
          </w:p>
        </w:tc>
        <w:tc>
          <w:tcPr>
            <w:tcW w:w="1080" w:type="dxa"/>
            <w:vAlign w:val="center"/>
          </w:tcPr>
          <w:p w:rsidR="00C80A9D" w:rsidRDefault="00C80A9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C80A9D" w:rsidRDefault="00E34BE5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0451BE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0451BE" w:rsidRDefault="000451BE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580" w:type="dxa"/>
          </w:tcPr>
          <w:p w:rsidR="000451BE" w:rsidRPr="00A10E49" w:rsidRDefault="000451BE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Encuentros culturales y cambio social: temporalidades entrelazadas</w:t>
            </w:r>
          </w:p>
        </w:tc>
        <w:tc>
          <w:tcPr>
            <w:tcW w:w="1080" w:type="dxa"/>
            <w:vAlign w:val="center"/>
          </w:tcPr>
          <w:p w:rsidR="000451BE" w:rsidRDefault="000451BE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0451BE" w:rsidRDefault="00E34BE5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0451BE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0451BE" w:rsidRPr="000451BE" w:rsidRDefault="000451BE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6</w:t>
            </w:r>
          </w:p>
        </w:tc>
        <w:tc>
          <w:tcPr>
            <w:tcW w:w="5580" w:type="dxa"/>
          </w:tcPr>
          <w:p w:rsidR="000451BE" w:rsidRPr="00A10E49" w:rsidRDefault="00E34BE5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Casos regionales 1: Asia</w:t>
            </w:r>
          </w:p>
        </w:tc>
        <w:tc>
          <w:tcPr>
            <w:tcW w:w="1080" w:type="dxa"/>
            <w:vAlign w:val="center"/>
          </w:tcPr>
          <w:p w:rsidR="000451BE" w:rsidRDefault="00E34BE5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0451BE" w:rsidRDefault="00E34BE5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E34BE5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34BE5" w:rsidRDefault="00E34BE5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7</w:t>
            </w:r>
          </w:p>
        </w:tc>
        <w:tc>
          <w:tcPr>
            <w:tcW w:w="5580" w:type="dxa"/>
          </w:tcPr>
          <w:p w:rsidR="00E34BE5" w:rsidRPr="00A10E49" w:rsidRDefault="00E34BE5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Casos regionales 2: Oceanía</w:t>
            </w:r>
          </w:p>
        </w:tc>
        <w:tc>
          <w:tcPr>
            <w:tcW w:w="1080" w:type="dxa"/>
            <w:vAlign w:val="center"/>
          </w:tcPr>
          <w:p w:rsidR="00E34BE5" w:rsidRDefault="00E34BE5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34BE5" w:rsidRDefault="00E34BE5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E34BE5" w:rsidRPr="00C80A9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34BE5" w:rsidRDefault="00E34BE5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8</w:t>
            </w:r>
          </w:p>
        </w:tc>
        <w:tc>
          <w:tcPr>
            <w:tcW w:w="5580" w:type="dxa"/>
          </w:tcPr>
          <w:p w:rsidR="00E34BE5" w:rsidRPr="00A10E49" w:rsidRDefault="00E34BE5" w:rsidP="00E74B04">
            <w:pPr>
              <w:jc w:val="both"/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Casos regionales 3: Mesoamérica y las Américas</w:t>
            </w:r>
          </w:p>
        </w:tc>
        <w:tc>
          <w:tcPr>
            <w:tcW w:w="1080" w:type="dxa"/>
            <w:vAlign w:val="center"/>
          </w:tcPr>
          <w:p w:rsidR="00E34BE5" w:rsidRDefault="00E34BE5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E34BE5" w:rsidRDefault="00E34BE5" w:rsidP="00C80A9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34BE5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34BE5" w:rsidP="00E34B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17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  <w:bookmarkStart w:id="0" w:name="_GoBack"/>
      <w:bookmarkEnd w:id="0"/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F3659A" w:rsidTr="001400D4">
        <w:trPr>
          <w:cantSplit/>
          <w:trHeight w:val="354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6A46D8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7662" w:type="dxa"/>
          </w:tcPr>
          <w:p w:rsidR="00E74B04" w:rsidRPr="00BF1DC0" w:rsidRDefault="001400D4" w:rsidP="00E74B04">
            <w:pPr>
              <w:spacing w:after="40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0"/>
                <w:lang w:val="es-MX"/>
              </w:rPr>
            </w:pPr>
            <w:r w:rsidRPr="00BF1DC0">
              <w:rPr>
                <w:rFonts w:ascii="Arial Narrow" w:hAnsi="Arial Narrow" w:cs="Arial"/>
                <w:b/>
                <w:i/>
                <w:iCs/>
                <w:color w:val="000000"/>
                <w:sz w:val="20"/>
                <w:lang w:val="es-MX"/>
              </w:rPr>
              <w:t xml:space="preserve">* </w:t>
            </w:r>
            <w:r w:rsidR="00502B91" w:rsidRPr="00BF1DC0">
              <w:rPr>
                <w:rFonts w:ascii="Arial Narrow" w:hAnsi="Arial Narrow" w:cs="Arial"/>
                <w:b/>
                <w:i/>
                <w:iCs/>
                <w:color w:val="000000"/>
                <w:sz w:val="20"/>
                <w:lang w:val="es-MX"/>
              </w:rPr>
              <w:t>Véase</w:t>
            </w:r>
            <w:r w:rsidRPr="00BF1DC0">
              <w:rPr>
                <w:rFonts w:ascii="Arial Narrow" w:hAnsi="Arial Narrow" w:cs="Arial"/>
                <w:b/>
                <w:i/>
                <w:iCs/>
                <w:color w:val="000000"/>
                <w:sz w:val="20"/>
                <w:lang w:val="es-MX"/>
              </w:rPr>
              <w:t xml:space="preserve"> los temas desglosados</w:t>
            </w:r>
            <w:r w:rsidR="00502B91" w:rsidRPr="00BF1DC0">
              <w:rPr>
                <w:rFonts w:ascii="Arial Narrow" w:hAnsi="Arial Narrow" w:cs="Arial"/>
                <w:b/>
                <w:i/>
                <w:iCs/>
                <w:color w:val="000000"/>
                <w:sz w:val="20"/>
                <w:lang w:val="es-MX"/>
              </w:rPr>
              <w:t xml:space="preserve"> arriba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880421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695CC1" w:rsidRPr="00695CC1" w:rsidRDefault="00502B91" w:rsidP="00605537">
            <w:pPr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 w:rsidRPr="00695CC1">
              <w:rPr>
                <w:rFonts w:ascii="Times New Roman" w:hAnsi="Times New Roman" w:cs="Arial"/>
                <w:sz w:val="22"/>
                <w:szCs w:val="22"/>
              </w:rPr>
              <w:t>--</w:t>
            </w:r>
            <w:r w:rsidR="00695CC1" w:rsidRPr="00695CC1">
              <w:rPr>
                <w:rFonts w:ascii="Times New Roman" w:hAnsi="Times New Roman" w:cs="Arial"/>
                <w:sz w:val="22"/>
                <w:szCs w:val="22"/>
              </w:rPr>
              <w:t xml:space="preserve">Wulf, Christoph (2016), ‘On Historical Anthropology: An Introduction’, </w:t>
            </w:r>
            <w:proofErr w:type="spellStart"/>
            <w:r w:rsidR="00695CC1" w:rsidRPr="00695CC1">
              <w:rPr>
                <w:rFonts w:ascii="Times New Roman" w:hAnsi="Times New Roman" w:cs="Arial"/>
                <w:sz w:val="22"/>
                <w:szCs w:val="22"/>
              </w:rPr>
              <w:t>en</w:t>
            </w:r>
            <w:proofErr w:type="spellEnd"/>
            <w:r w:rsidR="00695CC1" w:rsidRPr="00695CC1">
              <w:rPr>
                <w:rFonts w:ascii="Times New Roman" w:hAnsi="Times New Roman" w:cs="Arial"/>
                <w:sz w:val="22"/>
                <w:szCs w:val="22"/>
              </w:rPr>
              <w:t xml:space="preserve"> </w:t>
            </w:r>
            <w:r w:rsidR="00695CC1" w:rsidRPr="00695CC1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Journal of the Senses and Society</w:t>
            </w:r>
            <w:r w:rsidR="00695CC1" w:rsidRPr="00695CC1">
              <w:rPr>
                <w:rFonts w:ascii="Times New Roman" w:hAnsi="Times New Roman" w:cs="Arial"/>
                <w:sz w:val="22"/>
                <w:szCs w:val="22"/>
              </w:rPr>
              <w:t xml:space="preserve">, vol. 11, </w:t>
            </w:r>
            <w:proofErr w:type="spellStart"/>
            <w:r w:rsidR="00695CC1" w:rsidRPr="00695CC1">
              <w:rPr>
                <w:rFonts w:ascii="Times New Roman" w:hAnsi="Times New Roman" w:cs="Arial"/>
                <w:sz w:val="22"/>
                <w:szCs w:val="22"/>
              </w:rPr>
              <w:t>núm</w:t>
            </w:r>
            <w:proofErr w:type="spellEnd"/>
            <w:r w:rsidR="00695CC1" w:rsidRPr="00695CC1">
              <w:rPr>
                <w:rFonts w:ascii="Times New Roman" w:hAnsi="Times New Roman" w:cs="Arial"/>
                <w:sz w:val="22"/>
                <w:szCs w:val="22"/>
              </w:rPr>
              <w:t>. 1, pp. 7-23.</w:t>
            </w:r>
          </w:p>
          <w:p w:rsidR="00605537" w:rsidRDefault="00695CC1" w:rsidP="00605537">
            <w:pPr>
              <w:jc w:val="both"/>
              <w:rPr>
                <w:rFonts w:ascii="Times New Roman" w:hAnsi="Times New Roman" w:cs="Arial"/>
                <w:sz w:val="20"/>
                <w:lang w:val="es-ES"/>
              </w:rPr>
            </w:pPr>
            <w:r>
              <w:rPr>
                <w:rFonts w:ascii="Times New Roman" w:hAnsi="Times New Roman" w:cs="Arial"/>
                <w:sz w:val="20"/>
                <w:lang w:val="es-ES_tradnl"/>
              </w:rPr>
              <w:t>--</w:t>
            </w:r>
            <w:proofErr w:type="spellStart"/>
            <w:r w:rsidR="00605537" w:rsidRPr="00605537">
              <w:rPr>
                <w:rFonts w:ascii="Times New Roman" w:hAnsi="Times New Roman" w:cs="Arial"/>
                <w:sz w:val="20"/>
                <w:lang w:val="es-ES_tradnl"/>
              </w:rPr>
              <w:t>Sahlins</w:t>
            </w:r>
            <w:proofErr w:type="spellEnd"/>
            <w:r w:rsidR="00605537" w:rsidRPr="00605537">
              <w:rPr>
                <w:rFonts w:ascii="Times New Roman" w:hAnsi="Times New Roman" w:cs="Arial"/>
                <w:sz w:val="20"/>
                <w:lang w:val="es-ES_tradnl"/>
              </w:rPr>
              <w:t xml:space="preserve">, Marshall, </w:t>
            </w:r>
            <w:r w:rsidR="00605537" w:rsidRPr="00605537">
              <w:rPr>
                <w:rFonts w:ascii="Times New Roman" w:hAnsi="Times New Roman" w:cs="Arial"/>
                <w:i/>
                <w:iCs/>
                <w:sz w:val="20"/>
                <w:lang w:val="es-ES_tradnl"/>
              </w:rPr>
              <w:t xml:space="preserve">La ilusión occidental de la naturaleza humana, </w:t>
            </w:r>
            <w:r w:rsidR="00605537" w:rsidRPr="00605537">
              <w:rPr>
                <w:rFonts w:ascii="Times New Roman" w:hAnsi="Times New Roman" w:cs="Arial"/>
                <w:sz w:val="20"/>
                <w:lang w:val="es-ES_tradnl"/>
              </w:rPr>
              <w:t xml:space="preserve">México, Fondo de </w:t>
            </w:r>
            <w:r w:rsidR="00605537" w:rsidRPr="00605537">
              <w:rPr>
                <w:rFonts w:ascii="Times New Roman" w:hAnsi="Times New Roman" w:cs="Arial"/>
                <w:sz w:val="20"/>
                <w:lang w:val="es-ES"/>
              </w:rPr>
              <w:t>Cultura</w:t>
            </w:r>
          </w:p>
          <w:p w:rsidR="00605537" w:rsidRPr="00605537" w:rsidRDefault="00605537" w:rsidP="00605537">
            <w:pPr>
              <w:jc w:val="both"/>
              <w:rPr>
                <w:rFonts w:ascii="Times New Roman" w:hAnsi="Times New Roman" w:cs="Arial"/>
                <w:sz w:val="20"/>
                <w:lang w:val="es-ES"/>
              </w:rPr>
            </w:pPr>
            <w:r w:rsidRPr="00605537">
              <w:rPr>
                <w:rFonts w:ascii="Times New Roman" w:hAnsi="Times New Roman" w:cs="Arial"/>
                <w:sz w:val="20"/>
                <w:lang w:val="es-ES"/>
              </w:rPr>
              <w:t>Económica</w:t>
            </w:r>
            <w:r w:rsidRPr="00605537">
              <w:rPr>
                <w:rFonts w:ascii="Times New Roman" w:hAnsi="Times New Roman" w:cs="Arial"/>
                <w:i/>
                <w:iCs/>
                <w:sz w:val="20"/>
                <w:lang w:val="es-ES"/>
              </w:rPr>
              <w:t xml:space="preserve"> </w:t>
            </w:r>
            <w:r w:rsidRPr="00605537">
              <w:rPr>
                <w:rFonts w:ascii="Times New Roman" w:hAnsi="Times New Roman" w:cs="Arial"/>
                <w:sz w:val="20"/>
                <w:lang w:val="es-ES"/>
              </w:rPr>
              <w:t>(Colección: Breviarios 1)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s-ES"/>
              </w:rPr>
            </w:pPr>
            <w:r>
              <w:rPr>
                <w:rFonts w:eastAsia="Calibri" w:cs="Arial"/>
                <w:sz w:val="22"/>
                <w:szCs w:val="22"/>
                <w:lang w:val="es-ES"/>
              </w:rPr>
              <w:t>--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s-ES"/>
              </w:rPr>
              <w:t>Burke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s-ES"/>
              </w:rPr>
              <w:t xml:space="preserve">, Peter, </w:t>
            </w:r>
            <w:r w:rsidRPr="00605537">
              <w:rPr>
                <w:rFonts w:eastAsia="Calibri" w:cs="Arial"/>
                <w:i/>
                <w:iCs/>
                <w:sz w:val="22"/>
                <w:szCs w:val="22"/>
                <w:lang w:val="es-ES"/>
              </w:rPr>
              <w:t>‘¿Qué es la historia cultural?’</w:t>
            </w:r>
            <w:r w:rsidRPr="00605537">
              <w:rPr>
                <w:rFonts w:eastAsia="Calibri" w:cs="Arial"/>
                <w:sz w:val="22"/>
                <w:szCs w:val="22"/>
                <w:lang w:val="es-ES"/>
              </w:rPr>
              <w:t>, Barcelona, Paidós, 2006.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s-ES_tradnl"/>
              </w:rPr>
            </w:pPr>
            <w:r>
              <w:rPr>
                <w:rFonts w:eastAsia="Calibri" w:cs="Arial"/>
                <w:sz w:val="22"/>
                <w:szCs w:val="22"/>
                <w:lang w:val="es-ES_tradnl"/>
              </w:rPr>
              <w:t>--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s-ES_tradnl"/>
              </w:rPr>
              <w:t>Hartog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s-ES_tradnl"/>
              </w:rPr>
              <w:t>, François, “Introducción” y</w:t>
            </w:r>
            <w:r w:rsidRPr="00605537">
              <w:rPr>
                <w:rFonts w:eastAsia="Calibri" w:cs="Arial"/>
                <w:sz w:val="22"/>
                <w:szCs w:val="22"/>
                <w:lang w:val="es-ES"/>
              </w:rPr>
              <w:t xml:space="preserve"> </w:t>
            </w:r>
            <w:r w:rsidRPr="00605537">
              <w:rPr>
                <w:rFonts w:eastAsia="Calibri" w:cs="Arial"/>
                <w:sz w:val="22"/>
                <w:szCs w:val="22"/>
                <w:lang w:val="es-ES_tradnl"/>
              </w:rPr>
              <w:t>‘Órdenes del tiempo, regímenes de historicidad’,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s-ES_tradnl"/>
              </w:rPr>
            </w:pPr>
            <w:r w:rsidRPr="00605537">
              <w:rPr>
                <w:rFonts w:eastAsia="Calibri" w:cs="Arial"/>
                <w:i/>
                <w:iCs/>
                <w:sz w:val="22"/>
                <w:szCs w:val="22"/>
                <w:lang w:val="es-ES_tradnl"/>
              </w:rPr>
              <w:t xml:space="preserve">Regímenes de </w:t>
            </w:r>
            <w:proofErr w:type="gramStart"/>
            <w:r w:rsidRPr="00605537">
              <w:rPr>
                <w:rFonts w:eastAsia="Calibri" w:cs="Arial"/>
                <w:i/>
                <w:iCs/>
                <w:sz w:val="22"/>
                <w:szCs w:val="22"/>
                <w:lang w:val="es-ES_tradnl"/>
              </w:rPr>
              <w:t>historicidad :</w:t>
            </w:r>
            <w:proofErr w:type="gramEnd"/>
            <w:r w:rsidRPr="00605537">
              <w:rPr>
                <w:rFonts w:eastAsia="Calibri" w:cs="Arial"/>
                <w:i/>
                <w:iCs/>
                <w:sz w:val="22"/>
                <w:szCs w:val="22"/>
                <w:lang w:val="es-ES_tradnl"/>
              </w:rPr>
              <w:t xml:space="preserve"> presentismo y experiencias del tiempo</w:t>
            </w:r>
            <w:r w:rsidRPr="00605537">
              <w:rPr>
                <w:rFonts w:eastAsia="Calibri" w:cs="Arial"/>
                <w:sz w:val="22"/>
                <w:szCs w:val="22"/>
                <w:lang w:val="es-ES_tradnl"/>
              </w:rPr>
              <w:t>, México,</w:t>
            </w:r>
          </w:p>
          <w:p w:rsid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 w:rsidRPr="00880421">
              <w:rPr>
                <w:rFonts w:eastAsia="Calibri" w:cs="Arial"/>
                <w:sz w:val="22"/>
                <w:szCs w:val="22"/>
                <w:lang w:val="en-US"/>
              </w:rPr>
              <w:t xml:space="preserve">Universidad </w:t>
            </w:r>
            <w:proofErr w:type="spellStart"/>
            <w:r w:rsidRPr="00880421">
              <w:rPr>
                <w:rFonts w:eastAsia="Calibri" w:cs="Arial"/>
                <w:sz w:val="22"/>
                <w:szCs w:val="22"/>
                <w:lang w:val="en-US"/>
              </w:rPr>
              <w:t>Iberoamericana</w:t>
            </w:r>
            <w:proofErr w:type="spellEnd"/>
            <w:r w:rsidRPr="00880421">
              <w:rPr>
                <w:rFonts w:eastAsia="Calibri" w:cs="Arial"/>
                <w:sz w:val="22"/>
                <w:szCs w:val="22"/>
                <w:lang w:val="en-US"/>
              </w:rPr>
              <w:t xml:space="preserve">, 2007, </w:t>
            </w:r>
            <w:proofErr w:type="spellStart"/>
            <w:r w:rsidRPr="00880421">
              <w:rPr>
                <w:rFonts w:eastAsia="Calibri" w:cs="Arial"/>
                <w:sz w:val="22"/>
                <w:szCs w:val="22"/>
                <w:lang w:val="en-US"/>
              </w:rPr>
              <w:t>págs</w:t>
            </w:r>
            <w:proofErr w:type="spellEnd"/>
            <w:r w:rsidRPr="00880421">
              <w:rPr>
                <w:rFonts w:eastAsia="Calibri" w:cs="Arial"/>
                <w:sz w:val="22"/>
                <w:szCs w:val="22"/>
                <w:lang w:val="en-US"/>
              </w:rPr>
              <w:t xml:space="preserve">. 1-49. </w:t>
            </w:r>
          </w:p>
          <w:p w:rsidR="00880421" w:rsidRDefault="00880421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--Thomas, Nicholas (1989), </w:t>
            </w:r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Out of Time: History and Evolution in Anthropological Discourse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>, Cambridge University Press.</w:t>
            </w:r>
          </w:p>
          <w:p w:rsidR="00C357EF" w:rsidRDefault="00C357EF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r w:rsidRPr="00C357EF">
              <w:rPr>
                <w:rFonts w:eastAsia="Calibri" w:cs="Arial"/>
                <w:sz w:val="22"/>
                <w:szCs w:val="22"/>
                <w:lang w:val="en-US"/>
              </w:rPr>
              <w:t>Elizabeth A. Ten Dy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ke (1999), 'Anthropology, Historical' 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eastAsia="Calibri" w:cs="Arial"/>
                <w:sz w:val="22"/>
                <w:szCs w:val="22"/>
                <w:lang w:val="en-US"/>
              </w:rPr>
              <w:t xml:space="preserve"> la </w:t>
            </w:r>
            <w:r w:rsidRPr="00C357EF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Encyclopedia of Historians and Historical Writing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US"/>
              </w:rPr>
              <w:t>editada</w:t>
            </w:r>
            <w:proofErr w:type="spellEnd"/>
            <w:r>
              <w:rPr>
                <w:rFonts w:eastAsia="Calibri" w:cs="Arial"/>
                <w:sz w:val="22"/>
                <w:szCs w:val="22"/>
                <w:lang w:val="en-US"/>
              </w:rPr>
              <w:t xml:space="preserve"> por</w:t>
            </w:r>
            <w:r w:rsidRPr="00C357EF">
              <w:rPr>
                <w:rFonts w:eastAsia="Calibri" w:cs="Arial"/>
                <w:sz w:val="22"/>
                <w:szCs w:val="22"/>
                <w:lang w:val="en-US"/>
              </w:rPr>
              <w:t xml:space="preserve"> Kelly Boy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>d, Fitzroy Dearborn, Chicago, pp. 37--40</w:t>
            </w:r>
            <w:r w:rsidRPr="00C357EF">
              <w:rPr>
                <w:rFonts w:eastAsia="Calibri" w:cs="Arial"/>
                <w:sz w:val="22"/>
                <w:szCs w:val="22"/>
                <w:lang w:val="en-US"/>
              </w:rPr>
              <w:t>.</w:t>
            </w:r>
          </w:p>
          <w:p w:rsidR="00880421" w:rsidRDefault="00880421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US"/>
              </w:rPr>
              <w:t>Dening</w:t>
            </w:r>
            <w:proofErr w:type="spellEnd"/>
            <w:r>
              <w:rPr>
                <w:rFonts w:eastAsia="Calibri" w:cs="Arial"/>
                <w:sz w:val="22"/>
                <w:szCs w:val="22"/>
                <w:lang w:val="en-US"/>
              </w:rPr>
              <w:t xml:space="preserve">, Greg (1980), </w:t>
            </w:r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Islands and Beaches: Discourse on a Silent Land, Marquesas, 1774-1880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>, University of Hawai’i Press.</w:t>
            </w:r>
          </w:p>
          <w:p w:rsidR="009C3432" w:rsidRPr="009C3432" w:rsidRDefault="00880421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US"/>
              </w:rPr>
              <w:t>Clendinnen</w:t>
            </w:r>
            <w:proofErr w:type="spellEnd"/>
            <w:r>
              <w:rPr>
                <w:rFonts w:eastAsia="Calibri" w:cs="Arial"/>
                <w:sz w:val="22"/>
                <w:szCs w:val="22"/>
                <w:lang w:val="en-US"/>
              </w:rPr>
              <w:t>, Inga (</w:t>
            </w:r>
            <w:r w:rsidR="009C3432">
              <w:rPr>
                <w:rFonts w:eastAsia="Calibri" w:cs="Arial"/>
                <w:sz w:val="22"/>
                <w:szCs w:val="22"/>
                <w:lang w:val="en-US"/>
              </w:rPr>
              <w:t>2003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>)</w:t>
            </w:r>
            <w:r w:rsidR="009C3432">
              <w:rPr>
                <w:rFonts w:eastAsia="Calibri" w:cs="Arial"/>
                <w:sz w:val="22"/>
                <w:szCs w:val="22"/>
                <w:lang w:val="en-US"/>
              </w:rPr>
              <w:t xml:space="preserve">, </w:t>
            </w:r>
            <w:r w:rsidR="009C3432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Ambivalent Conquests: Maya and Spaniard in Yucatan, 1517-1570,</w:t>
            </w:r>
            <w:r w:rsidR="009C3432">
              <w:rPr>
                <w:rFonts w:eastAsia="Calibri" w:cs="Arial"/>
                <w:sz w:val="22"/>
                <w:szCs w:val="22"/>
                <w:lang w:val="en-US"/>
              </w:rPr>
              <w:t xml:space="preserve"> Cambridge University Press.</w:t>
            </w:r>
          </w:p>
          <w:p w:rsidR="00880421" w:rsidRDefault="00880421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 w:rsidRPr="00880421">
              <w:rPr>
                <w:rFonts w:eastAsia="Calibri" w:cs="Arial"/>
                <w:sz w:val="22"/>
                <w:szCs w:val="22"/>
                <w:lang w:val="en-US"/>
              </w:rPr>
              <w:t>--Hoskins, Janet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 (1993), </w:t>
            </w:r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 xml:space="preserve">The Play of Time: </w:t>
            </w:r>
            <w:proofErr w:type="spellStart"/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Kodi</w:t>
            </w:r>
            <w:proofErr w:type="spellEnd"/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 xml:space="preserve"> Perspectives on Calendars, </w:t>
            </w:r>
            <w:proofErr w:type="gramStart"/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History ,</w:t>
            </w:r>
            <w:proofErr w:type="gramEnd"/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 xml:space="preserve"> and Exchange,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 University of California Press.</w:t>
            </w:r>
          </w:p>
          <w:p w:rsidR="00880421" w:rsidRPr="00880421" w:rsidRDefault="00880421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US"/>
              </w:rPr>
              <w:t>Biersack</w:t>
            </w:r>
            <w:proofErr w:type="spellEnd"/>
            <w:r>
              <w:rPr>
                <w:rFonts w:eastAsia="Calibri" w:cs="Arial"/>
                <w:sz w:val="22"/>
                <w:szCs w:val="22"/>
                <w:lang w:val="en-US"/>
              </w:rPr>
              <w:t xml:space="preserve">, Aletta, ed. (1991), </w:t>
            </w:r>
            <w:r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Clio in Oceania: Toward a Historical Anthropology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>, Smithsonian Institution Press.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Becker, A.L. (1979) “Text-Building, Epistemology, and Aesthetics in Javanese 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lastRenderedPageBreak/>
              <w:t xml:space="preserve">Shadow Theatre”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en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 A.L. Becker y Aram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Yengoyam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 (eds.) </w:t>
            </w: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The Imagination of</w:t>
            </w: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ab/>
              <w:t>Reality. Essays in Southeast Asian Coherence Systems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, Norwood NJ,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Ablex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pp. 211-244.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Errington, Shelly (1979) ‘Some Comments on Style in the Meanings of the Past’, 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The Journal of Asian Studies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, Vol. 38,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Núm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. 2, pp. 231-244 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Ann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Stoler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 and Frederick Cooper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 (1997)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 “Between metropole and colony: Rethinking a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research agenda”, in Frederick Cooper and Ann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Stoler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 (eds.) </w:t>
            </w: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Tensions of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Empire: Colonial Cultures in a Bourgeois World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 Berkeley, University of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California Press,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 pp. 1-56.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--Andaya, Leonard Y. (1993), cap.2 “The World of Maluku: The Center” y cap. 3 “The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i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World of Maluku: The Periphery”, </w:t>
            </w:r>
            <w:r w:rsidRPr="00605537">
              <w:rPr>
                <w:rFonts w:eastAsia="Calibri" w:cs="Arial"/>
                <w:i/>
                <w:sz w:val="22"/>
                <w:szCs w:val="22"/>
                <w:lang w:val="en-US"/>
              </w:rPr>
              <w:t>The World of Maluku: Eastern Indonesia in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i/>
                <w:sz w:val="22"/>
                <w:szCs w:val="22"/>
                <w:lang w:val="en-US"/>
              </w:rPr>
              <w:t>the Early Modern Period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 Honolulu: University of Hawai’i Press, pgs. 47-112.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Zhang, Tong &amp; Barry Schwartz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 (2003)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 ‘Confucius and the Cultural Revolution: A study in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collective memory’,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en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 J.K. Olick, ed., </w:t>
            </w: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States of Memory. Continuities, conflicts, and transformations in national retrospection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 Durh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>am, Duke University Press,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 pgs. 101-127.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r w:rsidRPr="00605537">
              <w:rPr>
                <w:rFonts w:cs="Arial"/>
                <w:lang w:val="en-US" w:eastAsia="es-ES"/>
              </w:rPr>
              <w:t xml:space="preserve">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Gruzinski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, Serge, </w:t>
            </w: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The Eagle and the Dragon. Globalization and European dreams of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conquest in China and America in the Sixteenth Century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Londres</w:t>
            </w:r>
            <w:proofErr w:type="spellEnd"/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 Polity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605537">
              <w:rPr>
                <w:rFonts w:eastAsia="Calibri" w:cs="Arial"/>
                <w:sz w:val="22"/>
                <w:szCs w:val="22"/>
              </w:rPr>
              <w:t>Books</w:t>
            </w:r>
            <w:proofErr w:type="spellEnd"/>
            <w:r w:rsidRPr="00605537">
              <w:rPr>
                <w:rFonts w:eastAsia="Calibri" w:cs="Arial"/>
                <w:sz w:val="22"/>
                <w:szCs w:val="22"/>
              </w:rPr>
              <w:t>, 2014.</w:t>
            </w:r>
          </w:p>
          <w:p w:rsidR="00605537" w:rsidRPr="00605537" w:rsidRDefault="00605537" w:rsidP="00605537">
            <w:pPr>
              <w:pStyle w:val="Defaul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--</w:t>
            </w:r>
            <w:r w:rsidRPr="00605537">
              <w:rPr>
                <w:rFonts w:cs="Arial"/>
                <w:sz w:val="22"/>
                <w:szCs w:val="22"/>
                <w:lang w:val="en-US"/>
              </w:rPr>
              <w:t>Li, Tania M. (2001) ‘Relational Histories and the Production of Difference on</w:t>
            </w:r>
          </w:p>
          <w:p w:rsidR="00605537" w:rsidRPr="00605537" w:rsidRDefault="00605537" w:rsidP="00605537">
            <w:pPr>
              <w:pStyle w:val="Default"/>
              <w:rPr>
                <w:rFonts w:cs="Arial"/>
                <w:sz w:val="22"/>
                <w:szCs w:val="22"/>
                <w:lang w:val="en-US"/>
              </w:rPr>
            </w:pPr>
            <w:r w:rsidRPr="00605537">
              <w:rPr>
                <w:rFonts w:cs="Arial"/>
                <w:sz w:val="22"/>
                <w:szCs w:val="22"/>
                <w:lang w:val="en-US"/>
              </w:rPr>
              <w:t xml:space="preserve">Sulawesi's Upland </w:t>
            </w:r>
            <w:proofErr w:type="spellStart"/>
            <w:proofErr w:type="gramStart"/>
            <w:r w:rsidRPr="00605537">
              <w:rPr>
                <w:rFonts w:cs="Arial"/>
                <w:sz w:val="22"/>
                <w:szCs w:val="22"/>
                <w:lang w:val="en-US"/>
              </w:rPr>
              <w:t>Frontier‘</w:t>
            </w:r>
            <w:proofErr w:type="gramEnd"/>
            <w:r w:rsidRPr="00605537">
              <w:rPr>
                <w:rFonts w:cs="Arial"/>
                <w:sz w:val="22"/>
                <w:szCs w:val="22"/>
                <w:lang w:val="en-US"/>
              </w:rPr>
              <w:t>,</w:t>
            </w:r>
            <w:r w:rsidRPr="00605537">
              <w:rPr>
                <w:rFonts w:cs="Arial"/>
                <w:i/>
                <w:sz w:val="22"/>
                <w:szCs w:val="22"/>
                <w:lang w:val="en-US"/>
              </w:rPr>
              <w:t>The</w:t>
            </w:r>
            <w:proofErr w:type="spellEnd"/>
            <w:r w:rsidRPr="00605537">
              <w:rPr>
                <w:rFonts w:cs="Arial"/>
                <w:i/>
                <w:sz w:val="22"/>
                <w:szCs w:val="22"/>
                <w:lang w:val="en-US"/>
              </w:rPr>
              <w:t xml:space="preserve"> Journal of Asian Studies</w:t>
            </w:r>
            <w:r w:rsidRPr="00605537">
              <w:rPr>
                <w:rFonts w:cs="Arial"/>
                <w:sz w:val="22"/>
                <w:szCs w:val="22"/>
                <w:lang w:val="en-US"/>
              </w:rPr>
              <w:t xml:space="preserve">, vol. 60, </w:t>
            </w:r>
            <w:proofErr w:type="spellStart"/>
            <w:r w:rsidRPr="00605537">
              <w:rPr>
                <w:rFonts w:cs="Arial"/>
                <w:sz w:val="22"/>
                <w:szCs w:val="22"/>
                <w:lang w:val="en-US"/>
              </w:rPr>
              <w:t>núm</w:t>
            </w:r>
            <w:proofErr w:type="spellEnd"/>
            <w:r w:rsidRPr="00605537">
              <w:rPr>
                <w:rFonts w:cs="Arial"/>
                <w:sz w:val="22"/>
                <w:szCs w:val="22"/>
                <w:lang w:val="en-US"/>
              </w:rPr>
              <w:t>. 1, pp. 41-66.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--</w:t>
            </w:r>
            <w:r w:rsidRPr="00605537">
              <w:rPr>
                <w:rFonts w:eastAsia="Arial Unicode MS" w:cs="Arial"/>
                <w:u w:color="000000"/>
                <w:bdr w:val="nil"/>
                <w:lang w:val="en-US" w:eastAsia="es-ES"/>
              </w:rPr>
              <w:t xml:space="preserve"> 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 xml:space="preserve">Scott, James C. (2009), </w:t>
            </w: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The art of not being governed an anarchist history of upland</w:t>
            </w:r>
          </w:p>
          <w:p w:rsidR="00605537" w:rsidRPr="00605537" w:rsidRDefault="00605537" w:rsidP="00605537">
            <w:pPr>
              <w:pStyle w:val="Default"/>
              <w:rPr>
                <w:rFonts w:eastAsia="Calibri" w:cs="Arial"/>
                <w:sz w:val="22"/>
                <w:szCs w:val="22"/>
                <w:lang w:val="en-US"/>
              </w:rPr>
            </w:pPr>
            <w:r w:rsidRPr="00605537">
              <w:rPr>
                <w:rFonts w:eastAsia="Calibri" w:cs="Arial"/>
                <w:i/>
                <w:iCs/>
                <w:sz w:val="22"/>
                <w:szCs w:val="22"/>
                <w:lang w:val="en-US"/>
              </w:rPr>
              <w:t>Southeast Asia</w:t>
            </w:r>
            <w:r w:rsidRPr="00605537">
              <w:rPr>
                <w:rFonts w:eastAsia="Calibri" w:cs="Arial"/>
                <w:sz w:val="22"/>
                <w:szCs w:val="22"/>
                <w:lang w:val="en-US"/>
              </w:rPr>
              <w:t>, Yale University Press, pgs. 1-63.</w:t>
            </w:r>
          </w:p>
          <w:p w:rsidR="00605537" w:rsidRPr="00605537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s-ES"/>
              </w:rPr>
            </w:pPr>
            <w:r w:rsidRPr="00605537">
              <w:rPr>
                <w:rFonts w:eastAsia="Calibri" w:cs="Arial"/>
                <w:sz w:val="22"/>
                <w:szCs w:val="22"/>
                <w:lang w:val="es-ES"/>
              </w:rPr>
              <w:t>--</w:t>
            </w:r>
            <w:r w:rsidRPr="00605537">
              <w:rPr>
                <w:lang w:val="es-ES" w:eastAsia="es-ES"/>
              </w:rPr>
              <w:t xml:space="preserve"> </w:t>
            </w:r>
            <w:r w:rsidRPr="00605537">
              <w:rPr>
                <w:rFonts w:eastAsia="Calibri" w:cs="Arial"/>
                <w:sz w:val="22"/>
                <w:szCs w:val="22"/>
                <w:lang w:val="es-ES"/>
              </w:rPr>
              <w:t>Navarrete, Federico, ‘El cambio cultural en las sociedades amerindias: Una nueva</w:t>
            </w:r>
          </w:p>
          <w:p w:rsidR="00605537" w:rsidRPr="00880421" w:rsidRDefault="00605537" w:rsidP="00605537">
            <w:pPr>
              <w:pStyle w:val="Default"/>
              <w:jc w:val="both"/>
              <w:rPr>
                <w:rFonts w:eastAsia="Calibri" w:cs="Arial"/>
                <w:sz w:val="22"/>
                <w:szCs w:val="22"/>
                <w:lang w:val="es-ES"/>
              </w:rPr>
            </w:pPr>
            <w:r w:rsidRPr="00880421">
              <w:rPr>
                <w:rFonts w:eastAsia="Calibri" w:cs="Arial"/>
                <w:sz w:val="22"/>
                <w:szCs w:val="22"/>
                <w:lang w:val="es-ES"/>
              </w:rPr>
              <w:t xml:space="preserve">perspectiva’, en </w:t>
            </w:r>
            <w:r w:rsidRPr="00880421">
              <w:rPr>
                <w:rFonts w:eastAsia="Calibri" w:cs="Arial"/>
                <w:i/>
                <w:iCs/>
                <w:sz w:val="22"/>
                <w:szCs w:val="22"/>
                <w:lang w:val="es-ES"/>
              </w:rPr>
              <w:t xml:space="preserve">Hacia otra historia de </w:t>
            </w:r>
            <w:proofErr w:type="spellStart"/>
            <w:proofErr w:type="gramStart"/>
            <w:r w:rsidRPr="00880421">
              <w:rPr>
                <w:rFonts w:eastAsia="Calibri" w:cs="Arial"/>
                <w:i/>
                <w:iCs/>
                <w:sz w:val="22"/>
                <w:szCs w:val="22"/>
                <w:lang w:val="es-ES"/>
              </w:rPr>
              <w:t>América</w:t>
            </w:r>
            <w:r w:rsidRPr="00880421">
              <w:rPr>
                <w:rFonts w:eastAsia="Calibri" w:cs="Arial"/>
                <w:sz w:val="22"/>
                <w:szCs w:val="22"/>
                <w:lang w:val="es-ES"/>
              </w:rPr>
              <w:t>,IIH</w:t>
            </w:r>
            <w:proofErr w:type="spellEnd"/>
            <w:proofErr w:type="gramEnd"/>
            <w:r w:rsidRPr="00880421">
              <w:rPr>
                <w:rFonts w:eastAsia="Calibri" w:cs="Arial"/>
                <w:sz w:val="22"/>
                <w:szCs w:val="22"/>
                <w:lang w:val="es-ES"/>
              </w:rPr>
              <w:t xml:space="preserve">-UNAM, 2015, </w:t>
            </w:r>
            <w:proofErr w:type="spellStart"/>
            <w:r w:rsidRPr="00880421">
              <w:rPr>
                <w:rFonts w:eastAsia="Calibri" w:cs="Arial"/>
                <w:sz w:val="22"/>
                <w:szCs w:val="22"/>
                <w:lang w:val="es-ES"/>
              </w:rPr>
              <w:t>pgs</w:t>
            </w:r>
            <w:proofErr w:type="spellEnd"/>
            <w:r w:rsidRPr="00880421">
              <w:rPr>
                <w:rFonts w:eastAsia="Calibri" w:cs="Arial"/>
                <w:sz w:val="22"/>
                <w:szCs w:val="22"/>
                <w:lang w:val="es-ES"/>
              </w:rPr>
              <w:t>. 13-86.</w:t>
            </w:r>
          </w:p>
          <w:p w:rsidR="00605537" w:rsidRPr="00880421" w:rsidRDefault="00880421" w:rsidP="00605537">
            <w:pPr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 w:rsidRPr="00880421">
              <w:rPr>
                <w:rFonts w:ascii="Times New Roman" w:hAnsi="Times New Roman" w:cs="Arial"/>
                <w:sz w:val="22"/>
                <w:szCs w:val="22"/>
              </w:rPr>
              <w:t>--Santos-</w:t>
            </w:r>
            <w:proofErr w:type="spellStart"/>
            <w:r w:rsidRPr="00880421">
              <w:rPr>
                <w:rFonts w:ascii="Times New Roman" w:hAnsi="Times New Roman" w:cs="Arial"/>
                <w:sz w:val="22"/>
                <w:szCs w:val="22"/>
              </w:rPr>
              <w:t>Granero</w:t>
            </w:r>
            <w:proofErr w:type="spellEnd"/>
            <w:r w:rsidRPr="00880421">
              <w:rPr>
                <w:rFonts w:ascii="Times New Roman" w:hAnsi="Times New Roman" w:cs="Arial"/>
                <w:sz w:val="22"/>
                <w:szCs w:val="22"/>
              </w:rPr>
              <w:t xml:space="preserve">, Fernando, ed. (2009), </w:t>
            </w:r>
            <w:r w:rsidRPr="00880421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The Occult Life of Things. Native Amazonian Theories of Materiality and Personhood</w:t>
            </w:r>
            <w:r w:rsidRPr="00880421">
              <w:rPr>
                <w:rFonts w:ascii="Times New Roman" w:hAnsi="Times New Roman" w:cs="Arial"/>
                <w:sz w:val="22"/>
                <w:szCs w:val="22"/>
              </w:rPr>
              <w:t>, University of Arizona Press.</w:t>
            </w:r>
          </w:p>
          <w:p w:rsidR="00E74B04" w:rsidRPr="00880421" w:rsidRDefault="00E74B04" w:rsidP="008807AD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74B04" w:rsidRPr="00605537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605537" w:rsidRPr="00605537" w:rsidRDefault="00605537" w:rsidP="00605537">
            <w:pPr>
              <w:ind w:left="-57" w:right="-57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--</w:t>
            </w:r>
            <w:r w:rsidRPr="00605537">
              <w:rPr>
                <w:rFonts w:ascii="Times New Roman" w:hAnsi="Times New Roman" w:cs="Arial"/>
                <w:sz w:val="22"/>
                <w:szCs w:val="22"/>
              </w:rPr>
              <w:t xml:space="preserve">Fabian, Johannes, </w:t>
            </w:r>
            <w:r w:rsidRPr="00605537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Memory against Culture. Arguments and reminders</w:t>
            </w:r>
            <w:r w:rsidRPr="00605537">
              <w:rPr>
                <w:rFonts w:ascii="Times New Roman" w:hAnsi="Times New Roman" w:cs="Arial"/>
                <w:sz w:val="22"/>
                <w:szCs w:val="22"/>
              </w:rPr>
              <w:t>, Durham,</w:t>
            </w:r>
          </w:p>
          <w:p w:rsidR="00605537" w:rsidRPr="00605537" w:rsidRDefault="00605537" w:rsidP="00605537">
            <w:pPr>
              <w:ind w:left="-57" w:right="-57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 w:rsidRPr="00605537">
              <w:rPr>
                <w:rFonts w:ascii="Times New Roman" w:hAnsi="Times New Roman" w:cs="Arial"/>
                <w:sz w:val="22"/>
                <w:szCs w:val="22"/>
              </w:rPr>
              <w:t>Duke University Press, 2007.</w:t>
            </w:r>
          </w:p>
          <w:p w:rsidR="00605537" w:rsidRPr="00A10E49" w:rsidRDefault="00605537" w:rsidP="006055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E4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-- </w:t>
            </w:r>
            <w:r w:rsidRPr="00605537">
              <w:rPr>
                <w:rFonts w:ascii="Times New Roman" w:hAnsi="Times New Roman"/>
                <w:sz w:val="22"/>
                <w:szCs w:val="22"/>
              </w:rPr>
              <w:t xml:space="preserve">Gibson, Thomas (2007), cap. 1 “The Ruler as Perfect Man in Southeast Asia 1500-1667” y cap. 2 “Cosmopolitan Islam in South Sulawesi 1640-1705”, </w:t>
            </w:r>
            <w:r w:rsidRPr="00605537">
              <w:rPr>
                <w:rFonts w:ascii="Times New Roman" w:hAnsi="Times New Roman"/>
                <w:i/>
                <w:sz w:val="22"/>
                <w:szCs w:val="22"/>
              </w:rPr>
              <w:t>Islamic narrative in Sou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theast Asia:</w:t>
            </w:r>
            <w:r w:rsidRPr="0060553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10E4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from the 16th to the 21st century</w:t>
            </w:r>
            <w:r w:rsidRPr="00A10E49">
              <w:rPr>
                <w:rFonts w:ascii="Times New Roman" w:hAnsi="Times New Roman"/>
                <w:color w:val="000000"/>
                <w:sz w:val="22"/>
                <w:szCs w:val="22"/>
              </w:rPr>
              <w:t>, Nueva York. Palgrave-Macmillan.</w:t>
            </w:r>
          </w:p>
          <w:p w:rsidR="00605537" w:rsidRPr="00A10E49" w:rsidRDefault="00605537" w:rsidP="00605537">
            <w:pPr>
              <w:ind w:left="-57" w:right="-57"/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10E49">
              <w:rPr>
                <w:rFonts w:ascii="Times New Roman" w:hAnsi="Times New Roman"/>
                <w:color w:val="000000"/>
                <w:sz w:val="22"/>
                <w:szCs w:val="22"/>
              </w:rPr>
              <w:t>--</w:t>
            </w:r>
            <w:r w:rsidRPr="00A10E4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A10E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Müller, Jan-Werner, ‘European Intellectual History as Contemporary History’, </w:t>
            </w:r>
            <w:r w:rsidRPr="00A10E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Journal</w:t>
            </w:r>
          </w:p>
          <w:p w:rsidR="00605537" w:rsidRPr="00A10E49" w:rsidRDefault="00605537" w:rsidP="00605537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E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of Contemporary History</w:t>
            </w:r>
            <w:r w:rsidRPr="00A10E49">
              <w:rPr>
                <w:rFonts w:ascii="Times New Roman" w:hAnsi="Times New Roman"/>
                <w:color w:val="000000"/>
                <w:sz w:val="22"/>
                <w:szCs w:val="22"/>
              </w:rPr>
              <w:t>, vol. 46 (2011), pgs. 574-590.</w:t>
            </w:r>
          </w:p>
          <w:p w:rsidR="00605537" w:rsidRPr="00A10E49" w:rsidRDefault="00605537" w:rsidP="00605537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E49">
              <w:rPr>
                <w:rFonts w:ascii="Times New Roman" w:hAnsi="Times New Roman"/>
                <w:color w:val="000000"/>
                <w:sz w:val="22"/>
                <w:szCs w:val="22"/>
              </w:rPr>
              <w:t>--</w:t>
            </w:r>
            <w:r w:rsidRPr="00A10E49">
              <w:rPr>
                <w:rFonts w:ascii="Times New Roman" w:eastAsia="Times New Roman" w:hAnsi="Times New Roman" w:cs="Arial"/>
                <w:snapToGrid w:val="0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A10E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Ortner, Sherry (ed.), </w:t>
            </w:r>
            <w:r w:rsidRPr="00A10E4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The Fate of “Culture”: Geertz and Beyond</w:t>
            </w:r>
            <w:r w:rsidRPr="00A10E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(Berkeley: University</w:t>
            </w:r>
          </w:p>
          <w:p w:rsidR="00605537" w:rsidRPr="00A10E49" w:rsidRDefault="00605537" w:rsidP="00605537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A10E49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of</w:t>
            </w:r>
            <w:proofErr w:type="spellEnd"/>
            <w:r w:rsidRPr="00A10E49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California </w:t>
            </w:r>
            <w:proofErr w:type="spellStart"/>
            <w:r w:rsidRPr="00A10E49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Press</w:t>
            </w:r>
            <w:proofErr w:type="spellEnd"/>
            <w:r w:rsidRPr="00A10E49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, 1996), y pp. 1-13, 30-</w:t>
            </w:r>
            <w:proofErr w:type="gramStart"/>
            <w:r w:rsidRPr="00A10E49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55,–</w:t>
            </w:r>
            <w:proofErr w:type="gramEnd"/>
            <w:r w:rsidRPr="00A10E49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y las notas al final.</w:t>
            </w:r>
          </w:p>
          <w:p w:rsidR="006A46D8" w:rsidRPr="00A10E49" w:rsidRDefault="00880421" w:rsidP="006A46D8">
            <w:pPr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0"/>
                <w:lang w:val="es-ES"/>
              </w:rPr>
            </w:pPr>
            <w:r w:rsidRPr="00A10E49">
              <w:rPr>
                <w:rFonts w:ascii="Times New Roman" w:hAnsi="Times New Roman"/>
                <w:bCs/>
                <w:color w:val="000000"/>
                <w:sz w:val="20"/>
                <w:lang w:val="es-ES"/>
              </w:rPr>
              <w:t>--</w:t>
            </w:r>
            <w:proofErr w:type="spellStart"/>
            <w:r w:rsidRPr="00A10E49">
              <w:rPr>
                <w:rFonts w:ascii="Times New Roman" w:hAnsi="Times New Roman"/>
                <w:bCs/>
                <w:color w:val="000000"/>
                <w:sz w:val="20"/>
                <w:lang w:val="es-ES"/>
              </w:rPr>
              <w:t>Sahlins</w:t>
            </w:r>
            <w:proofErr w:type="spellEnd"/>
            <w:r w:rsidRPr="00A10E49">
              <w:rPr>
                <w:rFonts w:ascii="Times New Roman" w:hAnsi="Times New Roman"/>
                <w:bCs/>
                <w:color w:val="000000"/>
                <w:sz w:val="20"/>
                <w:lang w:val="es-ES"/>
              </w:rPr>
              <w:t xml:space="preserve">, Marshall (1985), </w:t>
            </w:r>
            <w:r w:rsidRPr="00A10E49">
              <w:rPr>
                <w:rFonts w:ascii="Times New Roman" w:hAnsi="Times New Roman"/>
                <w:bCs/>
                <w:i/>
                <w:iCs/>
                <w:color w:val="000000"/>
                <w:sz w:val="20"/>
                <w:lang w:val="es-ES"/>
              </w:rPr>
              <w:t>Islas de Historia</w:t>
            </w:r>
            <w:r w:rsidRPr="00A10E49">
              <w:rPr>
                <w:rFonts w:ascii="Times New Roman" w:hAnsi="Times New Roman"/>
                <w:bCs/>
                <w:color w:val="000000"/>
                <w:sz w:val="20"/>
                <w:lang w:val="es-ES"/>
              </w:rPr>
              <w:t>, Gedisa.</w:t>
            </w:r>
          </w:p>
          <w:p w:rsidR="00E74B04" w:rsidRPr="00605537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F3659A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="008807AD" w:rsidRPr="008807AD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: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9C415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proofErr w:type="gramStart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proofErr w:type="gramStart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</w:t>
            </w:r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arciales</w:t>
            </w:r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</w:t>
            </w:r>
            <w:proofErr w:type="gramStart"/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502B91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Seminario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gram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gram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p w:rsidR="008807AD" w:rsidRDefault="008807AD" w:rsidP="00A134C6">
      <w:pPr>
        <w:rPr>
          <w:rFonts w:ascii="Arial Narrow" w:hAnsi="Arial Narrow"/>
          <w:b/>
          <w:sz w:val="20"/>
          <w:u w:val="single"/>
          <w:lang w:val="es-MX"/>
        </w:rPr>
      </w:pPr>
      <w:r>
        <w:rPr>
          <w:rFonts w:ascii="Arial Narrow" w:hAnsi="Arial Narrow"/>
          <w:b/>
          <w:sz w:val="20"/>
          <w:u w:val="single"/>
          <w:lang w:val="es-MX"/>
        </w:rPr>
        <w:t xml:space="preserve">Observaciones generales: </w:t>
      </w:r>
    </w:p>
    <w:p w:rsidR="00F96550" w:rsidRDefault="00F96550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p w:rsidR="00C12683" w:rsidRDefault="00F96550" w:rsidP="00A134C6">
      <w:pPr>
        <w:rPr>
          <w:rFonts w:ascii="Arial Narrow" w:hAnsi="Arial Narrow"/>
          <w:bCs/>
          <w:sz w:val="20"/>
          <w:lang w:val="es-MX"/>
        </w:rPr>
      </w:pPr>
      <w:r>
        <w:rPr>
          <w:rFonts w:ascii="Arial Narrow" w:hAnsi="Arial Narrow"/>
          <w:bCs/>
          <w:sz w:val="20"/>
          <w:lang w:val="es-MX"/>
        </w:rPr>
        <w:lastRenderedPageBreak/>
        <w:t>CRITERIOS DE EVALUACIÓN</w:t>
      </w:r>
    </w:p>
    <w:p w:rsidR="00C12683" w:rsidRPr="00C12683" w:rsidRDefault="00C12683" w:rsidP="00C12683">
      <w:pPr>
        <w:pStyle w:val="textbox"/>
        <w:rPr>
          <w:rFonts w:ascii="Cambria" w:hAnsi="Cambria"/>
          <w:sz w:val="18"/>
          <w:szCs w:val="18"/>
          <w:lang w:val="es-ES"/>
        </w:rPr>
      </w:pPr>
      <w:r w:rsidRPr="00C12683">
        <w:rPr>
          <w:rFonts w:ascii="Cambria" w:hAnsi="Cambria"/>
          <w:sz w:val="18"/>
          <w:szCs w:val="18"/>
          <w:lang w:val="es-ES"/>
        </w:rPr>
        <w:t>La calificación final se fundamentará en una división tripartita, en donde el 25% de la nota final dependerá</w:t>
      </w:r>
      <w:r>
        <w:rPr>
          <w:rFonts w:ascii="Cambria" w:hAnsi="Cambria"/>
          <w:sz w:val="18"/>
          <w:szCs w:val="18"/>
          <w:lang w:val="es-ES"/>
        </w:rPr>
        <w:t xml:space="preserve"> </w:t>
      </w:r>
      <w:r w:rsidRPr="00C12683">
        <w:rPr>
          <w:rFonts w:ascii="Cambria" w:hAnsi="Cambria"/>
          <w:sz w:val="18"/>
          <w:szCs w:val="18"/>
          <w:lang w:val="es-ES"/>
        </w:rPr>
        <w:t>de asistencia y participación, un 25% se determinará a partir de un trabajo parcial a medio semestre, y el 50% restante se calculará con base en un examen escrito y un trabajo final</w:t>
      </w:r>
    </w:p>
    <w:p w:rsidR="00C12683" w:rsidRPr="00C12683" w:rsidRDefault="00C12683" w:rsidP="00A134C6">
      <w:pPr>
        <w:rPr>
          <w:rFonts w:ascii="Arial Narrow" w:hAnsi="Arial Narrow"/>
          <w:bCs/>
          <w:sz w:val="20"/>
          <w:lang w:val="es-ES"/>
        </w:rPr>
      </w:pPr>
    </w:p>
    <w:sectPr w:rsidR="00C12683" w:rsidRPr="00C12683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AD" w:rsidRDefault="00B214AD" w:rsidP="00E74B04">
      <w:r>
        <w:separator/>
      </w:r>
    </w:p>
  </w:endnote>
  <w:endnote w:type="continuationSeparator" w:id="0">
    <w:p w:rsidR="00B214AD" w:rsidRDefault="00B214AD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093D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AD" w:rsidRDefault="00B214AD" w:rsidP="00E74B04">
      <w:r>
        <w:separator/>
      </w:r>
    </w:p>
  </w:footnote>
  <w:footnote w:type="continuationSeparator" w:id="0">
    <w:p w:rsidR="00B214AD" w:rsidRDefault="00B214AD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21"/>
  </w:num>
  <w:num w:numId="14">
    <w:abstractNumId w:val="38"/>
  </w:num>
  <w:num w:numId="15">
    <w:abstractNumId w:val="34"/>
  </w:num>
  <w:num w:numId="16">
    <w:abstractNumId w:val="32"/>
  </w:num>
  <w:num w:numId="17">
    <w:abstractNumId w:val="37"/>
  </w:num>
  <w:num w:numId="18">
    <w:abstractNumId w:val="11"/>
  </w:num>
  <w:num w:numId="19">
    <w:abstractNumId w:val="2"/>
  </w:num>
  <w:num w:numId="20">
    <w:abstractNumId w:val="36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27"/>
  </w:num>
  <w:num w:numId="27">
    <w:abstractNumId w:val="39"/>
  </w:num>
  <w:num w:numId="28">
    <w:abstractNumId w:val="33"/>
  </w:num>
  <w:num w:numId="29">
    <w:abstractNumId w:val="3"/>
  </w:num>
  <w:num w:numId="30">
    <w:abstractNumId w:val="7"/>
  </w:num>
  <w:num w:numId="31">
    <w:abstractNumId w:val="28"/>
  </w:num>
  <w:num w:numId="32">
    <w:abstractNumId w:val="20"/>
  </w:num>
  <w:num w:numId="33">
    <w:abstractNumId w:val="9"/>
  </w:num>
  <w:num w:numId="34">
    <w:abstractNumId w:val="29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6"/>
  </w:num>
  <w:num w:numId="40">
    <w:abstractNumId w:val="4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7B"/>
    <w:rsid w:val="000451BE"/>
    <w:rsid w:val="0005477B"/>
    <w:rsid w:val="000759E3"/>
    <w:rsid w:val="00093D49"/>
    <w:rsid w:val="000977BF"/>
    <w:rsid w:val="00112F02"/>
    <w:rsid w:val="00113C42"/>
    <w:rsid w:val="001400D4"/>
    <w:rsid w:val="00142796"/>
    <w:rsid w:val="001D65E5"/>
    <w:rsid w:val="002C5BFA"/>
    <w:rsid w:val="002D44EE"/>
    <w:rsid w:val="00343F40"/>
    <w:rsid w:val="00354749"/>
    <w:rsid w:val="00481FC0"/>
    <w:rsid w:val="00487D01"/>
    <w:rsid w:val="004D42B9"/>
    <w:rsid w:val="00502B91"/>
    <w:rsid w:val="00503E60"/>
    <w:rsid w:val="00523D0E"/>
    <w:rsid w:val="00593255"/>
    <w:rsid w:val="005A7AEA"/>
    <w:rsid w:val="005C43B3"/>
    <w:rsid w:val="00605537"/>
    <w:rsid w:val="00695CC1"/>
    <w:rsid w:val="006A46D8"/>
    <w:rsid w:val="006D7663"/>
    <w:rsid w:val="00746BB1"/>
    <w:rsid w:val="00794756"/>
    <w:rsid w:val="007B0F55"/>
    <w:rsid w:val="00844437"/>
    <w:rsid w:val="00873937"/>
    <w:rsid w:val="00880421"/>
    <w:rsid w:val="008807AD"/>
    <w:rsid w:val="009838C7"/>
    <w:rsid w:val="009C3432"/>
    <w:rsid w:val="009C4151"/>
    <w:rsid w:val="00A10E49"/>
    <w:rsid w:val="00A12D43"/>
    <w:rsid w:val="00A134C6"/>
    <w:rsid w:val="00A80CDD"/>
    <w:rsid w:val="00AB45F0"/>
    <w:rsid w:val="00B04BB9"/>
    <w:rsid w:val="00B16DA6"/>
    <w:rsid w:val="00B214AD"/>
    <w:rsid w:val="00BB5CFC"/>
    <w:rsid w:val="00BF1DC0"/>
    <w:rsid w:val="00C12683"/>
    <w:rsid w:val="00C357EF"/>
    <w:rsid w:val="00C80A9D"/>
    <w:rsid w:val="00C957C0"/>
    <w:rsid w:val="00D5674B"/>
    <w:rsid w:val="00D644C5"/>
    <w:rsid w:val="00D958D6"/>
    <w:rsid w:val="00DD2CCE"/>
    <w:rsid w:val="00E05383"/>
    <w:rsid w:val="00E34BE5"/>
    <w:rsid w:val="00E61742"/>
    <w:rsid w:val="00E74B04"/>
    <w:rsid w:val="00EF7DAF"/>
    <w:rsid w:val="00F24D90"/>
    <w:rsid w:val="00F96550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26EAF7E7"/>
  <w15:chartTrackingRefBased/>
  <w15:docId w15:val="{CB31F742-224C-403D-8B33-06F87B2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Tablanormal31">
    <w:name w:val="Tabla normal 31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customStyle="1" w:styleId="textbox">
    <w:name w:val="textbox"/>
    <w:basedOn w:val="Normal"/>
    <w:rsid w:val="00C12683"/>
    <w:pPr>
      <w:spacing w:before="100" w:beforeAutospacing="1" w:after="100" w:afterAutospacing="1"/>
    </w:pPr>
    <w:rPr>
      <w:rFonts w:ascii="Times New Roman" w:hAnsi="Times New Roman"/>
      <w:szCs w:val="24"/>
      <w:lang w:eastAsia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ESTUDIOS SEGÚN FORMATO</vt:lpstr>
      <vt:lpstr>PLAN DE ESTUDIOS SEGÚN FORMATO</vt:lpstr>
    </vt:vector>
  </TitlesOfParts>
  <Company>ILIA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</cp:lastModifiedBy>
  <cp:revision>4</cp:revision>
  <cp:lastPrinted>2011-08-11T17:16:00Z</cp:lastPrinted>
  <dcterms:created xsi:type="dcterms:W3CDTF">2018-06-11T18:35:00Z</dcterms:created>
  <dcterms:modified xsi:type="dcterms:W3CDTF">2018-06-21T06:36:00Z</dcterms:modified>
</cp:coreProperties>
</file>