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D6604D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470B87" w:rsidRPr="00470B87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470B87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70B87"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D6604D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D6604D" w:rsidRDefault="00E74B04" w:rsidP="006D7663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010993" w:rsidRPr="0001099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Seminario Monográfico - Investigación arqueológica. </w:t>
            </w:r>
          </w:p>
          <w:p w:rsidR="00E74B04" w:rsidRPr="00010993" w:rsidRDefault="00D6604D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6604D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  <w:lang w:val="es-MX"/>
              </w:rPr>
              <w:t>Subtema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: </w:t>
            </w:r>
            <w:r w:rsidR="00010993" w:rsidRPr="0001099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Estilos y Tradiciones tecnológicas en Mesoamérica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010993">
              <w:rPr>
                <w:rFonts w:ascii="Arial" w:hAnsi="Arial" w:cs="Arial"/>
                <w:b/>
                <w:sz w:val="16"/>
                <w:szCs w:val="16"/>
                <w:lang w:val="es-MX"/>
              </w:rPr>
              <w:t>6787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D6604D" w:rsidRDefault="00E74B04" w:rsidP="00D6604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01099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2017-2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01099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D6604D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010993" w:rsidRPr="0001099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010993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010993" w:rsidP="00D660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010993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010993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010993" w:rsidRPr="00010993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D6604D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01099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E74B04" w:rsidRPr="00D6604D">
        <w:trPr>
          <w:trHeight w:val="375"/>
          <w:jc w:val="center"/>
        </w:trPr>
        <w:tc>
          <w:tcPr>
            <w:tcW w:w="8882" w:type="dxa"/>
          </w:tcPr>
          <w:p w:rsidR="00E74B04" w:rsidRPr="00010993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1099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Objetivos generales: </w:t>
            </w:r>
          </w:p>
          <w:p w:rsidR="009F6C0D" w:rsidRPr="00010993" w:rsidRDefault="009F6C0D" w:rsidP="009F6C0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6604D">
              <w:rPr>
                <w:rFonts w:ascii="Arial" w:hAnsi="Arial" w:cs="Arial"/>
                <w:sz w:val="16"/>
                <w:szCs w:val="16"/>
                <w:lang w:val="es-MX"/>
              </w:rPr>
              <w:t xml:space="preserve">El curso de Estilos y Tradiciones Tecnológicas en Mesoamérica, parte de la necesidad del alumno de conocer y comprender las propuestas analíticas correspondientes a la asignación de filiación, estilos y tradiciones culturales a partir del estudio tecnológico. A partir de la discusión de bibliografía actualizada relacionada con las definiciones y conceptos teóricos de la tradición y el estilo desde una perspectiva tecnológica, se  determinará cómo se han definido a través del tiempo y de qué manera la tecnología incide en el estudio de estos conceptos. </w:t>
            </w:r>
            <w:r w:rsidRPr="00010993">
              <w:rPr>
                <w:rFonts w:ascii="Arial" w:hAnsi="Arial" w:cs="Arial"/>
                <w:sz w:val="16"/>
                <w:szCs w:val="16"/>
                <w:lang w:val="es-ES_tradnl"/>
              </w:rPr>
              <w:t>Del mismo modo, se harán revisiones de estudios de caso para ejemplificar dichos fenómenos, los cuales serán discutidos en clase.</w:t>
            </w:r>
          </w:p>
          <w:p w:rsidR="00E74B04" w:rsidRPr="00010993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ES_tradnl"/>
              </w:rPr>
            </w:pPr>
          </w:p>
        </w:tc>
      </w:tr>
      <w:tr w:rsidR="00E74B04" w:rsidRPr="00D6604D">
        <w:trPr>
          <w:trHeight w:val="948"/>
          <w:jc w:val="center"/>
        </w:trPr>
        <w:tc>
          <w:tcPr>
            <w:tcW w:w="8882" w:type="dxa"/>
          </w:tcPr>
          <w:p w:rsidR="00E74B04" w:rsidRPr="00010993" w:rsidRDefault="00E74B04" w:rsidP="009F6C0D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10993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Objetivos específicos:</w:t>
            </w:r>
            <w:r w:rsidRPr="0001099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E74B04" w:rsidRPr="00010993" w:rsidRDefault="009F6C0D" w:rsidP="009F6C0D">
            <w:pPr>
              <w:pStyle w:val="Textoindependiente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10993">
              <w:rPr>
                <w:rFonts w:ascii="Arial" w:hAnsi="Arial" w:cs="Arial"/>
                <w:sz w:val="16"/>
                <w:szCs w:val="16"/>
                <w:lang w:val="es-MX"/>
              </w:rPr>
              <w:t>La finalidad del curso consiste en que el alumno comprenda de manera crítica los conceptos teóricos relacionados con el estilo, filiación y la tradición en bienes evaluados desde una perspectiva tecnológica. Así como también la posibilidad de emplearlos como modelo metodológico para el estudio de la producción de bienes.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9F6C0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3659A" w:rsidRDefault="009F6C0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E74B04" w:rsidRPr="00D6604D" w:rsidRDefault="009F6C0D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D6604D">
              <w:rPr>
                <w:rFonts w:ascii="Arial Narrow" w:hAnsi="Arial Narrow"/>
                <w:b/>
                <w:sz w:val="20"/>
                <w:lang w:val="es-MX"/>
              </w:rPr>
              <w:t>La tradición y el estilo desde una perspectiva tecnológica</w:t>
            </w:r>
          </w:p>
        </w:tc>
        <w:tc>
          <w:tcPr>
            <w:tcW w:w="1080" w:type="dxa"/>
            <w:vAlign w:val="center"/>
          </w:tcPr>
          <w:p w:rsidR="00E74B04" w:rsidRPr="009F6C0D" w:rsidRDefault="009F6C0D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9F6C0D" w:rsidRDefault="00E74B04" w:rsidP="00E74B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F6C0D" w:rsidRPr="009F6C0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9F6C0D" w:rsidRDefault="009F6C0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5580" w:type="dxa"/>
          </w:tcPr>
          <w:p w:rsidR="009F6C0D" w:rsidRPr="00D6604D" w:rsidRDefault="009F6C0D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D6604D">
              <w:rPr>
                <w:rFonts w:ascii="Arial Narrow" w:hAnsi="Arial Narrow"/>
                <w:b/>
                <w:sz w:val="20"/>
                <w:lang w:val="es-MX"/>
              </w:rPr>
              <w:t>Los estilos y tradiciones mesoaméricanos</w:t>
            </w:r>
          </w:p>
        </w:tc>
        <w:tc>
          <w:tcPr>
            <w:tcW w:w="1080" w:type="dxa"/>
            <w:vAlign w:val="center"/>
          </w:tcPr>
          <w:p w:rsidR="009F6C0D" w:rsidRDefault="009F6C0D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9F6C0D" w:rsidRPr="009F6C0D" w:rsidRDefault="009F6C0D" w:rsidP="00E74B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F6C0D" w:rsidRPr="009F6C0D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9F6C0D" w:rsidRPr="009F6C0D" w:rsidRDefault="009F6C0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5580" w:type="dxa"/>
          </w:tcPr>
          <w:p w:rsidR="009F6C0D" w:rsidRPr="00D6604D" w:rsidRDefault="000A2B3A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D6604D">
              <w:rPr>
                <w:rFonts w:ascii="Arial Narrow" w:hAnsi="Arial Narrow"/>
                <w:b/>
                <w:sz w:val="20"/>
                <w:lang w:val="es-MX"/>
              </w:rPr>
              <w:t>Los estilos mesoamericanos desde el punto de vista tecnológico (</w:t>
            </w:r>
            <w:r w:rsidR="009F6C0D" w:rsidRPr="00D6604D">
              <w:rPr>
                <w:rFonts w:ascii="Arial Narrow" w:hAnsi="Arial Narrow"/>
                <w:b/>
                <w:sz w:val="20"/>
                <w:lang w:val="es-MX"/>
              </w:rPr>
              <w:t>Estudios de caso</w:t>
            </w:r>
            <w:r w:rsidRPr="00D6604D">
              <w:rPr>
                <w:rFonts w:ascii="Arial Narrow" w:hAnsi="Arial Narrow"/>
                <w:b/>
                <w:sz w:val="20"/>
                <w:lang w:val="es-MX"/>
              </w:rPr>
              <w:t>)</w:t>
            </w:r>
          </w:p>
        </w:tc>
        <w:tc>
          <w:tcPr>
            <w:tcW w:w="1080" w:type="dxa"/>
            <w:vAlign w:val="center"/>
          </w:tcPr>
          <w:p w:rsidR="009F6C0D" w:rsidRDefault="009F6C0D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9F6C0D" w:rsidRPr="009F6C0D" w:rsidRDefault="009F6C0D" w:rsidP="00E74B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9F6C0D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6A46D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593255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E74B04" w:rsidRPr="00D6604D" w:rsidTr="00E74B04">
        <w:trPr>
          <w:trHeight w:val="334"/>
          <w:jc w:val="center"/>
        </w:trPr>
        <w:tc>
          <w:tcPr>
            <w:tcW w:w="1049" w:type="dxa"/>
          </w:tcPr>
          <w:p w:rsidR="00E74B04" w:rsidRPr="009F6C0D" w:rsidRDefault="009F6C0D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:rsidR="006A46D8" w:rsidRPr="006A46D8" w:rsidRDefault="006A46D8" w:rsidP="006A46D8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  <w:p w:rsidR="00E74B04" w:rsidRPr="009F6C0D" w:rsidRDefault="009F6C0D" w:rsidP="00E74B04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La tradición y el estilo desde una perspectiva tecnológica</w:t>
            </w:r>
          </w:p>
        </w:tc>
      </w:tr>
      <w:tr w:rsidR="009F6C0D" w:rsidRPr="009F6C0D" w:rsidTr="00E74B04">
        <w:trPr>
          <w:trHeight w:val="334"/>
          <w:jc w:val="center"/>
        </w:trPr>
        <w:tc>
          <w:tcPr>
            <w:tcW w:w="1049" w:type="dxa"/>
          </w:tcPr>
          <w:p w:rsidR="009F6C0D" w:rsidRPr="009F6C0D" w:rsidRDefault="009F6C0D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2</w:t>
            </w:r>
          </w:p>
        </w:tc>
        <w:tc>
          <w:tcPr>
            <w:tcW w:w="7662" w:type="dxa"/>
          </w:tcPr>
          <w:p w:rsidR="009F6C0D" w:rsidRPr="009F6C0D" w:rsidRDefault="009F6C0D" w:rsidP="006A46D8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El estilo Olmeca</w:t>
            </w:r>
          </w:p>
        </w:tc>
      </w:tr>
      <w:tr w:rsidR="009F6C0D" w:rsidRPr="009F6C0D" w:rsidTr="00E74B04">
        <w:trPr>
          <w:trHeight w:val="334"/>
          <w:jc w:val="center"/>
        </w:trPr>
        <w:tc>
          <w:tcPr>
            <w:tcW w:w="1049" w:type="dxa"/>
          </w:tcPr>
          <w:p w:rsidR="009F6C0D" w:rsidRPr="009F6C0D" w:rsidRDefault="009F6C0D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</w:p>
        </w:tc>
        <w:tc>
          <w:tcPr>
            <w:tcW w:w="7662" w:type="dxa"/>
          </w:tcPr>
          <w:p w:rsidR="009F6C0D" w:rsidRPr="009F6C0D" w:rsidRDefault="009F6C0D" w:rsidP="006A46D8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El estilo Mezcala</w:t>
            </w:r>
          </w:p>
        </w:tc>
      </w:tr>
      <w:tr w:rsidR="009F6C0D" w:rsidRPr="009F6C0D" w:rsidTr="00E74B04">
        <w:trPr>
          <w:trHeight w:val="334"/>
          <w:jc w:val="center"/>
        </w:trPr>
        <w:tc>
          <w:tcPr>
            <w:tcW w:w="1049" w:type="dxa"/>
          </w:tcPr>
          <w:p w:rsidR="009F6C0D" w:rsidRPr="009F6C0D" w:rsidRDefault="009F6C0D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4</w:t>
            </w:r>
          </w:p>
        </w:tc>
        <w:tc>
          <w:tcPr>
            <w:tcW w:w="7662" w:type="dxa"/>
          </w:tcPr>
          <w:p w:rsidR="009F6C0D" w:rsidRPr="009F6C0D" w:rsidRDefault="000A2B3A" w:rsidP="006A46D8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El estilo Teotihuacano</w:t>
            </w:r>
          </w:p>
        </w:tc>
      </w:tr>
      <w:tr w:rsidR="009F6C0D" w:rsidRPr="009F6C0D" w:rsidTr="00E74B04">
        <w:trPr>
          <w:trHeight w:val="334"/>
          <w:jc w:val="center"/>
        </w:trPr>
        <w:tc>
          <w:tcPr>
            <w:tcW w:w="1049" w:type="dxa"/>
          </w:tcPr>
          <w:p w:rsidR="009F6C0D" w:rsidRPr="009F6C0D" w:rsidRDefault="000A2B3A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5</w:t>
            </w:r>
          </w:p>
        </w:tc>
        <w:tc>
          <w:tcPr>
            <w:tcW w:w="7662" w:type="dxa"/>
          </w:tcPr>
          <w:p w:rsidR="009F6C0D" w:rsidRPr="009F6C0D" w:rsidRDefault="000A2B3A" w:rsidP="006A46D8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El estilo Maya</w:t>
            </w:r>
          </w:p>
        </w:tc>
      </w:tr>
      <w:tr w:rsidR="000A2B3A" w:rsidRPr="009F6C0D" w:rsidTr="00E74B04">
        <w:trPr>
          <w:trHeight w:val="334"/>
          <w:jc w:val="center"/>
        </w:trPr>
        <w:tc>
          <w:tcPr>
            <w:tcW w:w="1049" w:type="dxa"/>
          </w:tcPr>
          <w:p w:rsidR="000A2B3A" w:rsidRPr="009F6C0D" w:rsidRDefault="000A2B3A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7662" w:type="dxa"/>
          </w:tcPr>
          <w:p w:rsidR="000A2B3A" w:rsidRPr="009F6C0D" w:rsidRDefault="000A2B3A" w:rsidP="006A46D8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El estilo Mixteco</w:t>
            </w:r>
          </w:p>
        </w:tc>
      </w:tr>
      <w:tr w:rsidR="000A2B3A" w:rsidRPr="009F6C0D" w:rsidTr="00E74B04">
        <w:trPr>
          <w:trHeight w:val="334"/>
          <w:jc w:val="center"/>
        </w:trPr>
        <w:tc>
          <w:tcPr>
            <w:tcW w:w="1049" w:type="dxa"/>
          </w:tcPr>
          <w:p w:rsidR="000A2B3A" w:rsidRPr="009F6C0D" w:rsidRDefault="000A2B3A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</w:t>
            </w:r>
          </w:p>
        </w:tc>
        <w:tc>
          <w:tcPr>
            <w:tcW w:w="7662" w:type="dxa"/>
          </w:tcPr>
          <w:p w:rsidR="000A2B3A" w:rsidRPr="009F6C0D" w:rsidRDefault="000A2B3A" w:rsidP="006A46D8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El estilo Huasteco</w:t>
            </w:r>
          </w:p>
        </w:tc>
      </w:tr>
      <w:tr w:rsidR="000A2B3A" w:rsidRPr="009F6C0D" w:rsidTr="00E74B04">
        <w:trPr>
          <w:trHeight w:val="334"/>
          <w:jc w:val="center"/>
        </w:trPr>
        <w:tc>
          <w:tcPr>
            <w:tcW w:w="1049" w:type="dxa"/>
          </w:tcPr>
          <w:p w:rsidR="000A2B3A" w:rsidRPr="009F6C0D" w:rsidRDefault="000A2B3A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7662" w:type="dxa"/>
          </w:tcPr>
          <w:p w:rsidR="000A2B3A" w:rsidRPr="009F6C0D" w:rsidRDefault="000A2B3A" w:rsidP="006A46D8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El estilo Tenochca</w:t>
            </w:r>
          </w:p>
        </w:tc>
      </w:tr>
      <w:tr w:rsidR="000A2B3A" w:rsidRPr="00D6604D" w:rsidTr="00E74B04">
        <w:trPr>
          <w:trHeight w:val="334"/>
          <w:jc w:val="center"/>
        </w:trPr>
        <w:tc>
          <w:tcPr>
            <w:tcW w:w="1049" w:type="dxa"/>
          </w:tcPr>
          <w:p w:rsidR="000A2B3A" w:rsidRDefault="000A2B3A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</w:t>
            </w:r>
          </w:p>
        </w:tc>
        <w:tc>
          <w:tcPr>
            <w:tcW w:w="7662" w:type="dxa"/>
          </w:tcPr>
          <w:p w:rsidR="000A2B3A" w:rsidRDefault="000A2B3A" w:rsidP="006A46D8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A2B3A">
              <w:rPr>
                <w:rFonts w:ascii="Arial Narrow" w:hAnsi="Arial Narrow" w:cs="Arial"/>
                <w:b/>
                <w:sz w:val="20"/>
                <w:lang w:val="es-MX"/>
              </w:rPr>
              <w:t>Los estilos mesoamericanos desde el punto de vista tecnológico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(estudios de caso)</w:t>
            </w:r>
          </w:p>
        </w:tc>
      </w:tr>
    </w:tbl>
    <w:p w:rsidR="00E74B04" w:rsidRPr="009F6C0D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420A39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Aguilera, Carmen</w:t>
            </w: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1977</w:t>
            </w:r>
            <w:r w:rsidRPr="00D6604D">
              <w:rPr>
                <w:rFonts w:ascii="Arial Narrow" w:hAnsi="Arial Narrow"/>
                <w:sz w:val="20"/>
                <w:lang w:val="es-MX"/>
              </w:rPr>
              <w:tab/>
            </w:r>
            <w:r w:rsidRPr="00D6604D">
              <w:rPr>
                <w:rFonts w:ascii="Arial Narrow" w:hAnsi="Arial Narrow"/>
                <w:i/>
                <w:sz w:val="20"/>
                <w:lang w:val="es-MX"/>
              </w:rPr>
              <w:t>El arte oficial tenochca: su significación social</w:t>
            </w:r>
            <w:r w:rsidRPr="00D6604D">
              <w:rPr>
                <w:rFonts w:ascii="Arial Narrow" w:hAnsi="Arial Narrow"/>
                <w:sz w:val="20"/>
                <w:lang w:val="es-MX"/>
              </w:rPr>
              <w:t>, México, UNAM.</w:t>
            </w: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</w:p>
          <w:p w:rsidR="000A2B3A" w:rsidRPr="00D6604D" w:rsidRDefault="000A2B3A" w:rsidP="001964D7">
            <w:pPr>
              <w:rPr>
                <w:rFonts w:ascii="Arial Narrow" w:hAnsi="Arial Narrow"/>
                <w:color w:val="1A0E09"/>
                <w:sz w:val="20"/>
                <w:shd w:val="clear" w:color="auto" w:fill="FFFFFF"/>
                <w:lang w:val="es-MX"/>
              </w:rPr>
            </w:pPr>
            <w:r w:rsidRPr="00D6604D">
              <w:rPr>
                <w:rFonts w:ascii="Arial Narrow" w:hAnsi="Arial Narrow"/>
                <w:color w:val="1A0E09"/>
                <w:sz w:val="20"/>
                <w:shd w:val="clear" w:color="auto" w:fill="FFFFFF"/>
                <w:lang w:val="es-MX"/>
              </w:rPr>
              <w:t>Benson, Elizabeth P., and Beatriz de la Fuente, eds.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color w:val="1A0E09"/>
                <w:sz w:val="20"/>
                <w:shd w:val="clear" w:color="auto" w:fill="FFFFFF"/>
              </w:rPr>
              <w:t>1996</w:t>
            </w:r>
            <w:r w:rsidRPr="000A2B3A">
              <w:rPr>
                <w:rFonts w:ascii="Arial Narrow" w:hAnsi="Arial Narrow"/>
                <w:color w:val="1A0E09"/>
                <w:sz w:val="20"/>
                <w:shd w:val="clear" w:color="auto" w:fill="FFFFFF"/>
              </w:rPr>
              <w:tab/>
            </w:r>
            <w:r w:rsidRPr="000A2B3A">
              <w:rPr>
                <w:rFonts w:ascii="Arial Narrow" w:hAnsi="Arial Narrow"/>
                <w:i/>
                <w:iCs/>
                <w:color w:val="1A0E09"/>
                <w:sz w:val="20"/>
                <w:shd w:val="clear" w:color="auto" w:fill="FFFFFF"/>
              </w:rPr>
              <w:t>Olmec Art of Ancient Mexico</w:t>
            </w:r>
            <w:r w:rsidRPr="000A2B3A">
              <w:rPr>
                <w:rFonts w:ascii="Arial Narrow" w:hAnsi="Arial Narrow"/>
                <w:color w:val="1A0E09"/>
                <w:sz w:val="20"/>
                <w:shd w:val="clear" w:color="auto" w:fill="FFFFFF"/>
              </w:rPr>
              <w:t>, Washington, D.C., National Gallery of Art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Berlo, Janet Catherine (ed.)</w:t>
            </w:r>
          </w:p>
          <w:p w:rsidR="000A2B3A" w:rsidRPr="000A2B3A" w:rsidRDefault="000A2B3A" w:rsidP="001964D7">
            <w:pPr>
              <w:ind w:left="720" w:hanging="660"/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1992</w:t>
            </w:r>
            <w:r w:rsidRPr="000A2B3A">
              <w:rPr>
                <w:rFonts w:ascii="Arial Narrow" w:hAnsi="Arial Narrow"/>
                <w:sz w:val="20"/>
              </w:rPr>
              <w:tab/>
            </w:r>
            <w:r w:rsidRPr="000A2B3A">
              <w:rPr>
                <w:rFonts w:ascii="Arial Narrow" w:hAnsi="Arial Narrow"/>
                <w:i/>
                <w:sz w:val="20"/>
              </w:rPr>
              <w:t>Art, Ideology, and the city of Teotihuacan: a Symposium at Dumbarton Oaks, 8</w:t>
            </w:r>
            <w:r w:rsidRPr="000A2B3A">
              <w:rPr>
                <w:rFonts w:ascii="Arial Narrow" w:hAnsi="Arial Narrow"/>
                <w:i/>
                <w:sz w:val="20"/>
                <w:vertAlign w:val="superscript"/>
              </w:rPr>
              <w:t>th</w:t>
            </w:r>
            <w:r w:rsidRPr="000A2B3A">
              <w:rPr>
                <w:rFonts w:ascii="Arial Narrow" w:hAnsi="Arial Narrow"/>
                <w:i/>
                <w:sz w:val="20"/>
              </w:rPr>
              <w:t xml:space="preserve"> and 9</w:t>
            </w:r>
            <w:r w:rsidRPr="000A2B3A">
              <w:rPr>
                <w:rFonts w:ascii="Arial Narrow" w:hAnsi="Arial Narrow"/>
                <w:i/>
                <w:sz w:val="20"/>
                <w:vertAlign w:val="superscript"/>
              </w:rPr>
              <w:t>th</w:t>
            </w:r>
            <w:r w:rsidRPr="000A2B3A">
              <w:rPr>
                <w:rFonts w:ascii="Arial Narrow" w:hAnsi="Arial Narrow"/>
                <w:i/>
                <w:sz w:val="20"/>
              </w:rPr>
              <w:t xml:space="preserve"> October 1988</w:t>
            </w:r>
            <w:r w:rsidRPr="000A2B3A">
              <w:rPr>
                <w:rFonts w:ascii="Arial Narrow" w:hAnsi="Arial Narrow"/>
                <w:sz w:val="20"/>
              </w:rPr>
              <w:t>, Washington D.C., Dumbarton Oaks &amp; Harvard University.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Conkey, Margaret W.</w:t>
            </w:r>
          </w:p>
          <w:p w:rsidR="000A2B3A" w:rsidRPr="000A2B3A" w:rsidRDefault="000A2B3A" w:rsidP="001964D7">
            <w:pPr>
              <w:ind w:left="720" w:hanging="720"/>
              <w:rPr>
                <w:rFonts w:ascii="Arial Narrow" w:hAnsi="Arial Narrow"/>
                <w:color w:val="000000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1978</w:t>
            </w:r>
            <w:r w:rsidRPr="000A2B3A">
              <w:rPr>
                <w:rFonts w:ascii="Arial Narrow" w:hAnsi="Arial Narrow"/>
                <w:sz w:val="20"/>
              </w:rPr>
              <w:tab/>
              <w:t xml:space="preserve">“Style and Information in Cultural Evolution: Toward a Predictive Model for the Paleolithic”en </w:t>
            </w:r>
            <w:r w:rsidRPr="000A2B3A">
              <w:rPr>
                <w:rFonts w:ascii="Arial Narrow" w:hAnsi="Arial Narrow"/>
                <w:color w:val="000000"/>
                <w:sz w:val="20"/>
              </w:rPr>
              <w:t xml:space="preserve">Charles L. Redman, William T. Langhorne Jr., Mary Jane Berman, Nina Versaggi, Edward Curtin y Jeffrey Wanser (eds.), </w:t>
            </w:r>
            <w:r w:rsidRPr="000A2B3A">
              <w:rPr>
                <w:rFonts w:ascii="Arial Narrow" w:hAnsi="Arial Narrow"/>
                <w:i/>
                <w:color w:val="000000"/>
                <w:sz w:val="20"/>
              </w:rPr>
              <w:t>Social Archaeology. Beyond Subsistence and Dating</w:t>
            </w:r>
            <w:r w:rsidRPr="000A2B3A">
              <w:rPr>
                <w:rFonts w:ascii="Arial Narrow" w:hAnsi="Arial Narrow"/>
                <w:color w:val="000000"/>
                <w:sz w:val="20"/>
              </w:rPr>
              <w:t>, New York-San Francisco-London, Academic Press, 1978, pp. 61-85.</w:t>
            </w:r>
          </w:p>
          <w:p w:rsidR="001964D7" w:rsidRPr="00D6604D" w:rsidRDefault="001964D7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  <w:lang w:val="es-ES_tradnl"/>
              </w:rPr>
            </w:pPr>
            <w:r w:rsidRPr="000A2B3A">
              <w:rPr>
                <w:rFonts w:ascii="Arial Narrow" w:hAnsi="Arial Narrow"/>
                <w:sz w:val="20"/>
                <w:lang w:val="es-ES_tradnl"/>
              </w:rPr>
              <w:t>Covarrubias, Miguel</w:t>
            </w:r>
          </w:p>
          <w:p w:rsidR="000A2B3A" w:rsidRPr="000A2B3A" w:rsidRDefault="000A2B3A" w:rsidP="001964D7">
            <w:pPr>
              <w:ind w:left="705" w:hanging="705"/>
              <w:rPr>
                <w:rFonts w:ascii="Arial Narrow" w:hAnsi="Arial Narrow"/>
                <w:sz w:val="20"/>
                <w:lang w:val="es-ES_tradnl"/>
              </w:rPr>
            </w:pPr>
            <w:r w:rsidRPr="000A2B3A">
              <w:rPr>
                <w:rFonts w:ascii="Arial Narrow" w:hAnsi="Arial Narrow"/>
                <w:sz w:val="20"/>
                <w:lang w:val="es-ES_tradnl"/>
              </w:rPr>
              <w:t>1948</w:t>
            </w:r>
            <w:r w:rsidRPr="000A2B3A">
              <w:rPr>
                <w:rFonts w:ascii="Arial Narrow" w:hAnsi="Arial Narrow"/>
                <w:sz w:val="20"/>
                <w:lang w:val="es-ES_tradnl"/>
              </w:rPr>
              <w:tab/>
              <w:t xml:space="preserve">“Tipología de la industria de piedra tallada y pulida de la cuenca del río Mezcala”, en </w:t>
            </w:r>
            <w:r w:rsidRPr="000A2B3A">
              <w:rPr>
                <w:rFonts w:ascii="Arial Narrow" w:hAnsi="Arial Narrow"/>
                <w:i/>
                <w:sz w:val="20"/>
                <w:lang w:val="es-ES_tradnl"/>
              </w:rPr>
              <w:t>El Occidente de México</w:t>
            </w:r>
            <w:r w:rsidRPr="000A2B3A">
              <w:rPr>
                <w:rFonts w:ascii="Arial Narrow" w:hAnsi="Arial Narrow"/>
                <w:sz w:val="20"/>
                <w:lang w:val="es-ES_tradnl"/>
              </w:rPr>
              <w:t>, México, Sociedad Mexicana de Antropología, pp. 86-90.</w:t>
            </w: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Gay, Carlo T. y Frances Pratt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1992</w:t>
            </w:r>
            <w:r w:rsidRPr="000A2B3A">
              <w:rPr>
                <w:rFonts w:ascii="Arial Narrow" w:hAnsi="Arial Narrow"/>
                <w:sz w:val="20"/>
              </w:rPr>
              <w:tab/>
            </w:r>
            <w:r w:rsidRPr="000A2B3A">
              <w:rPr>
                <w:rFonts w:ascii="Arial Narrow" w:hAnsi="Arial Narrow"/>
                <w:i/>
                <w:sz w:val="20"/>
              </w:rPr>
              <w:t>Mezcala. Ancient sculpture from Guerrero</w:t>
            </w:r>
            <w:r w:rsidRPr="000A2B3A">
              <w:rPr>
                <w:rFonts w:ascii="Arial Narrow" w:hAnsi="Arial Narrow"/>
                <w:sz w:val="20"/>
              </w:rPr>
              <w:t>, New York, Balsas Publications.</w:t>
            </w:r>
          </w:p>
          <w:p w:rsidR="000A2B3A" w:rsidRPr="000A2B3A" w:rsidRDefault="000A2B3A" w:rsidP="001964D7">
            <w:pPr>
              <w:pStyle w:val="Textoindependiente2"/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  <w:lang w:val="es-ES_tradnl"/>
              </w:rPr>
            </w:pPr>
            <w:r w:rsidRPr="000A2B3A">
              <w:rPr>
                <w:rFonts w:ascii="Arial Narrow" w:hAnsi="Arial Narrow"/>
                <w:sz w:val="20"/>
                <w:lang w:val="es-ES_tradnl"/>
              </w:rPr>
              <w:t>Gazzola, Julie</w:t>
            </w:r>
          </w:p>
          <w:p w:rsidR="000A2B3A" w:rsidRPr="000A2B3A" w:rsidRDefault="000A2B3A" w:rsidP="001964D7">
            <w:pPr>
              <w:ind w:left="705" w:hanging="705"/>
              <w:rPr>
                <w:rFonts w:ascii="Arial Narrow" w:hAnsi="Arial Narrow"/>
                <w:sz w:val="20"/>
                <w:lang w:val="es-ES_tradnl"/>
              </w:rPr>
            </w:pPr>
            <w:r w:rsidRPr="000A2B3A">
              <w:rPr>
                <w:rFonts w:ascii="Arial Narrow" w:hAnsi="Arial Narrow"/>
                <w:sz w:val="20"/>
                <w:lang w:val="es-ES_tradnl"/>
              </w:rPr>
              <w:t>2009</w:t>
            </w:r>
            <w:r w:rsidRPr="000A2B3A">
              <w:rPr>
                <w:rFonts w:ascii="Arial Narrow" w:hAnsi="Arial Narrow"/>
                <w:sz w:val="20"/>
                <w:lang w:val="es-ES_tradnl"/>
              </w:rPr>
              <w:tab/>
              <w:t xml:space="preserve">“La cadena operativa en la fabricación de máscaras en los talleres de lapidaria de La Ventilla, Teotihuacan”, en Lorena Mirambell y Leticia González Arratia (coords.), </w:t>
            </w:r>
            <w:r w:rsidRPr="000A2B3A">
              <w:rPr>
                <w:rFonts w:ascii="Arial Narrow" w:hAnsi="Arial Narrow"/>
                <w:i/>
                <w:sz w:val="20"/>
                <w:lang w:val="es-ES_tradnl"/>
              </w:rPr>
              <w:t>Investigaciones recientes sobre la lítica arqueológica en México</w:t>
            </w:r>
            <w:r w:rsidRPr="000A2B3A">
              <w:rPr>
                <w:rFonts w:ascii="Arial Narrow" w:hAnsi="Arial Narrow"/>
                <w:sz w:val="20"/>
                <w:lang w:val="es-ES_tradnl"/>
              </w:rPr>
              <w:t>, México, INAH (Colección Científica, 561), pp. 61-77.</w:t>
            </w:r>
          </w:p>
          <w:p w:rsidR="001964D7" w:rsidRPr="00D6604D" w:rsidRDefault="001964D7" w:rsidP="001964D7">
            <w:pPr>
              <w:pStyle w:val="Textoindependiente2"/>
              <w:spacing w:after="0" w:line="240" w:lineRule="auto"/>
              <w:rPr>
                <w:rFonts w:ascii="Arial Narrow" w:hAnsi="Arial Narrow"/>
                <w:sz w:val="20"/>
                <w:lang w:val="es-MX"/>
              </w:rPr>
            </w:pPr>
          </w:p>
          <w:p w:rsidR="000A2B3A" w:rsidRPr="000A2B3A" w:rsidRDefault="000A2B3A" w:rsidP="001964D7">
            <w:pPr>
              <w:pStyle w:val="Textoindependiente2"/>
              <w:spacing w:after="0" w:line="240" w:lineRule="auto"/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Lechtman, Heather</w:t>
            </w:r>
          </w:p>
          <w:p w:rsidR="000A2B3A" w:rsidRPr="000A2B3A" w:rsidRDefault="000A2B3A" w:rsidP="001964D7">
            <w:pPr>
              <w:ind w:left="720" w:hanging="720"/>
              <w:rPr>
                <w:rFonts w:ascii="Arial Narrow" w:hAnsi="Arial Narrow"/>
                <w:sz w:val="20"/>
                <w:lang w:eastAsia="es-ES"/>
              </w:rPr>
            </w:pPr>
            <w:r w:rsidRPr="000A2B3A">
              <w:rPr>
                <w:rFonts w:ascii="Arial Narrow" w:hAnsi="Arial Narrow"/>
                <w:sz w:val="20"/>
                <w:lang w:eastAsia="es-ES"/>
              </w:rPr>
              <w:t>1977</w:t>
            </w:r>
            <w:r w:rsidRPr="000A2B3A">
              <w:rPr>
                <w:rFonts w:ascii="Arial Narrow" w:hAnsi="Arial Narrow"/>
                <w:sz w:val="20"/>
                <w:lang w:eastAsia="es-ES"/>
              </w:rPr>
              <w:tab/>
              <w:t xml:space="preserve">“Style in Technology, Some Early Thoughts”, en </w:t>
            </w:r>
            <w:r w:rsidRPr="000A2B3A">
              <w:rPr>
                <w:rFonts w:ascii="Arial Narrow" w:hAnsi="Arial Narrow"/>
                <w:i/>
                <w:sz w:val="20"/>
                <w:lang w:eastAsia="es-ES"/>
              </w:rPr>
              <w:t>Material Culture: Styles Organization, and Dinamics of Technology</w:t>
            </w:r>
            <w:r w:rsidRPr="000A2B3A">
              <w:rPr>
                <w:rFonts w:ascii="Arial Narrow" w:hAnsi="Arial Narrow"/>
                <w:sz w:val="20"/>
                <w:lang w:eastAsia="es-ES"/>
              </w:rPr>
              <w:t xml:space="preserve">, edited by H. Lechtman and R. Merrill (eds.), </w:t>
            </w:r>
            <w:r w:rsidRPr="000A2B3A">
              <w:rPr>
                <w:rFonts w:ascii="Arial Narrow" w:hAnsi="Arial Narrow"/>
                <w:sz w:val="20"/>
              </w:rPr>
              <w:t>Proceedings of the American Ethnological Society</w:t>
            </w:r>
            <w:r w:rsidRPr="000A2B3A">
              <w:rPr>
                <w:rFonts w:ascii="Arial Narrow" w:hAnsi="Arial Narrow"/>
                <w:sz w:val="20"/>
                <w:lang w:eastAsia="es-ES"/>
              </w:rPr>
              <w:t>, West Publishing, New York, pp. 3-20.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Guzmán Acevedo, Eulogio</w:t>
            </w:r>
          </w:p>
          <w:p w:rsidR="000A2B3A" w:rsidRPr="000A2B3A" w:rsidRDefault="000A2B3A" w:rsidP="001964D7">
            <w:pPr>
              <w:ind w:left="720" w:hanging="720"/>
              <w:rPr>
                <w:rFonts w:ascii="Arial Narrow" w:hAnsi="Arial Narrow"/>
                <w:color w:val="000000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2005</w:t>
            </w:r>
            <w:r w:rsidRPr="000A2B3A">
              <w:rPr>
                <w:rFonts w:ascii="Arial Narrow" w:hAnsi="Arial Narrow"/>
                <w:sz w:val="20"/>
              </w:rPr>
              <w:tab/>
              <w:t xml:space="preserve">“Mexica Portable Sculpture: Symbols of Imperial Power and Cultural Integration”, en </w:t>
            </w:r>
            <w:r w:rsidRPr="000A2B3A">
              <w:rPr>
                <w:rFonts w:ascii="Arial Narrow" w:hAnsi="Arial Narrow"/>
                <w:i/>
                <w:sz w:val="20"/>
              </w:rPr>
              <w:t>Archaeology without Limits. Papers in honor of Clement W. Meighan</w:t>
            </w:r>
            <w:r w:rsidRPr="000A2B3A">
              <w:rPr>
                <w:rFonts w:ascii="Arial Narrow" w:hAnsi="Arial Narrow"/>
                <w:sz w:val="20"/>
              </w:rPr>
              <w:t>,</w:t>
            </w:r>
            <w:r w:rsidRPr="000A2B3A">
              <w:rPr>
                <w:rFonts w:ascii="Arial Narrow" w:hAnsi="Arial Narrow"/>
                <w:i/>
                <w:sz w:val="20"/>
              </w:rPr>
              <w:t xml:space="preserve"> </w:t>
            </w:r>
            <w:r w:rsidRPr="000A2B3A">
              <w:rPr>
                <w:rFonts w:ascii="Arial Narrow" w:hAnsi="Arial Narrow"/>
                <w:sz w:val="20"/>
              </w:rPr>
              <w:t>Lancaster, Labyrinthos Press, pp. 325-344.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Leroi-Gourhan, A.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1943</w:t>
            </w:r>
            <w:r w:rsidRPr="000A2B3A">
              <w:rPr>
                <w:rFonts w:ascii="Arial Narrow" w:hAnsi="Arial Narrow"/>
                <w:sz w:val="20"/>
              </w:rPr>
              <w:tab/>
              <w:t xml:space="preserve">“Evolution et techniques”, Vol. 1,  </w:t>
            </w:r>
            <w:r w:rsidRPr="000A2B3A">
              <w:rPr>
                <w:rFonts w:ascii="Arial Narrow" w:hAnsi="Arial Narrow"/>
                <w:i/>
                <w:sz w:val="20"/>
              </w:rPr>
              <w:t>L´Homme et al matière</w:t>
            </w:r>
            <w:r w:rsidRPr="000A2B3A">
              <w:rPr>
                <w:rFonts w:ascii="Arial Narrow" w:hAnsi="Arial Narrow"/>
                <w:sz w:val="20"/>
              </w:rPr>
              <w:t>, Albin Michel, Paris.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1945</w:t>
            </w:r>
            <w:r w:rsidRPr="000A2B3A">
              <w:rPr>
                <w:rFonts w:ascii="Arial Narrow" w:hAnsi="Arial Narrow"/>
                <w:sz w:val="20"/>
              </w:rPr>
              <w:tab/>
              <w:t xml:space="preserve">“Evolution el techniques”, Vol. 2, </w:t>
            </w:r>
            <w:r w:rsidRPr="000A2B3A">
              <w:rPr>
                <w:rFonts w:ascii="Arial Narrow" w:hAnsi="Arial Narrow"/>
                <w:i/>
                <w:sz w:val="20"/>
              </w:rPr>
              <w:t>Milieu et techniques</w:t>
            </w:r>
            <w:r w:rsidRPr="000A2B3A">
              <w:rPr>
                <w:rFonts w:ascii="Arial Narrow" w:hAnsi="Arial Narrow"/>
                <w:sz w:val="20"/>
              </w:rPr>
              <w:t xml:space="preserve">, Albin Michel, Paris. 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Paz Bautista, Clara</w:t>
            </w:r>
          </w:p>
          <w:p w:rsidR="000A2B3A" w:rsidRPr="00D6604D" w:rsidRDefault="000A2B3A" w:rsidP="001964D7">
            <w:pPr>
              <w:ind w:left="720" w:hanging="720"/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2010</w:t>
            </w:r>
            <w:r w:rsidRPr="00D6604D">
              <w:rPr>
                <w:rFonts w:ascii="Arial Narrow" w:hAnsi="Arial Narrow"/>
                <w:sz w:val="20"/>
                <w:lang w:val="es-MX"/>
              </w:rPr>
              <w:tab/>
              <w:t xml:space="preserve">“Estudio de las vestimentas de concha del Templo de la Serpiente Emplumada de Teotihuacan”, </w:t>
            </w:r>
            <w:r w:rsidRPr="000A2B3A">
              <w:rPr>
                <w:rFonts w:ascii="Arial Narrow" w:hAnsi="Arial Narrow"/>
                <w:sz w:val="20"/>
                <w:lang w:val="es-ES_tradnl"/>
              </w:rPr>
              <w:t xml:space="preserve">en Lourdes Suárez Díez y Adrián Velázquez Castro (coords.), </w:t>
            </w:r>
            <w:r w:rsidRPr="000A2B3A">
              <w:rPr>
                <w:rFonts w:ascii="Arial Narrow" w:hAnsi="Arial Narrow"/>
                <w:i/>
                <w:sz w:val="20"/>
                <w:lang w:val="es-ES_tradnl"/>
              </w:rPr>
              <w:t>Ecos del pasado: los moluscos arqueológicos de México</w:t>
            </w:r>
            <w:r w:rsidRPr="000A2B3A">
              <w:rPr>
                <w:rFonts w:ascii="Arial Narrow" w:hAnsi="Arial Narrow"/>
                <w:sz w:val="20"/>
                <w:lang w:val="es-ES_tradnl"/>
              </w:rPr>
              <w:t>, México, INAH (Colección Científica 572), pp. 153-181.</w:t>
            </w: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lastRenderedPageBreak/>
              <w:t>Pasztory, Esther</w:t>
            </w:r>
          </w:p>
          <w:p w:rsidR="000A2B3A" w:rsidRPr="000A2B3A" w:rsidRDefault="000A2B3A" w:rsidP="001964D7">
            <w:pPr>
              <w:ind w:left="705" w:hanging="705"/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1983</w:t>
            </w:r>
            <w:r w:rsidRPr="000A2B3A">
              <w:rPr>
                <w:rFonts w:ascii="Arial Narrow" w:hAnsi="Arial Narrow"/>
                <w:sz w:val="20"/>
              </w:rPr>
              <w:tab/>
            </w:r>
            <w:r w:rsidRPr="000A2B3A">
              <w:rPr>
                <w:rFonts w:ascii="Arial Narrow" w:hAnsi="Arial Narrow"/>
                <w:i/>
                <w:sz w:val="20"/>
              </w:rPr>
              <w:t>Aztec Art</w:t>
            </w:r>
            <w:r w:rsidRPr="000A2B3A">
              <w:rPr>
                <w:rFonts w:ascii="Arial Narrow" w:hAnsi="Arial Narrow"/>
                <w:sz w:val="20"/>
              </w:rPr>
              <w:t>, Norman, University of Oklahoma Press.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color w:val="000000"/>
                <w:sz w:val="20"/>
              </w:rPr>
            </w:pPr>
            <w:r w:rsidRPr="000A2B3A">
              <w:rPr>
                <w:rFonts w:ascii="Arial Narrow" w:hAnsi="Arial Narrow"/>
                <w:color w:val="000000"/>
                <w:sz w:val="20"/>
              </w:rPr>
              <w:t>Proskouriakoff, Tatiana</w:t>
            </w:r>
          </w:p>
          <w:p w:rsidR="000A2B3A" w:rsidRPr="000A2B3A" w:rsidRDefault="000A2B3A" w:rsidP="001964D7">
            <w:pPr>
              <w:ind w:left="705" w:hanging="705"/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color w:val="000000"/>
                <w:sz w:val="20"/>
              </w:rPr>
              <w:t>1974</w:t>
            </w:r>
            <w:r w:rsidRPr="000A2B3A">
              <w:rPr>
                <w:rFonts w:ascii="Arial Narrow" w:hAnsi="Arial Narrow"/>
                <w:color w:val="000000"/>
                <w:sz w:val="20"/>
              </w:rPr>
              <w:tab/>
            </w:r>
            <w:r w:rsidRPr="000A2B3A">
              <w:rPr>
                <w:rFonts w:ascii="Arial Narrow" w:hAnsi="Arial Narrow"/>
                <w:i/>
                <w:color w:val="000000"/>
                <w:sz w:val="20"/>
              </w:rPr>
              <w:t>Jades from the Cenote of Sacrifice, Chichen Itza, Yucatan</w:t>
            </w:r>
            <w:r w:rsidRPr="000A2B3A">
              <w:rPr>
                <w:rFonts w:ascii="Arial Narrow" w:hAnsi="Arial Narrow"/>
                <w:color w:val="000000"/>
                <w:sz w:val="20"/>
              </w:rPr>
              <w:t>, Harvard, Peabody Museum of Archaeology and Ethnology.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Reyna Robles, Rosa María</w:t>
            </w: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2006</w:t>
            </w:r>
            <w:r w:rsidRPr="00D6604D">
              <w:rPr>
                <w:rFonts w:ascii="Arial Narrow" w:hAnsi="Arial Narrow"/>
                <w:sz w:val="20"/>
                <w:lang w:val="es-MX"/>
              </w:rPr>
              <w:tab/>
            </w:r>
            <w:r w:rsidRPr="00D6604D">
              <w:rPr>
                <w:rFonts w:ascii="Arial Narrow" w:hAnsi="Arial Narrow"/>
                <w:i/>
                <w:sz w:val="20"/>
                <w:lang w:val="es-MX"/>
              </w:rPr>
              <w:t>La cultura arqueológica Mezcala</w:t>
            </w:r>
            <w:r w:rsidRPr="00D6604D">
              <w:rPr>
                <w:rFonts w:ascii="Arial Narrow" w:hAnsi="Arial Narrow"/>
                <w:sz w:val="20"/>
                <w:lang w:val="es-MX"/>
              </w:rPr>
              <w:t>, México, INAH (Colección Científica 487)</w:t>
            </w: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Sackett, James R.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1977</w:t>
            </w:r>
            <w:r w:rsidRPr="000A2B3A">
              <w:rPr>
                <w:rFonts w:ascii="Arial Narrow" w:hAnsi="Arial Narrow"/>
                <w:sz w:val="20"/>
              </w:rPr>
              <w:tab/>
              <w:t xml:space="preserve">“The meaning of style in archaeology: a general model” en </w:t>
            </w:r>
            <w:r w:rsidRPr="000A2B3A">
              <w:rPr>
                <w:rFonts w:ascii="Arial Narrow" w:hAnsi="Arial Narrow"/>
                <w:i/>
                <w:sz w:val="20"/>
              </w:rPr>
              <w:t>American Antiquity</w:t>
            </w:r>
            <w:r w:rsidRPr="000A2B3A">
              <w:rPr>
                <w:rFonts w:ascii="Arial Narrow" w:hAnsi="Arial Narrow"/>
                <w:sz w:val="20"/>
              </w:rPr>
              <w:t>, Vol. 42, No. 3, 1977, USA, pp. 369-380.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  <w:lang w:val="es-ES_tradnl"/>
              </w:rPr>
            </w:pPr>
            <w:r w:rsidRPr="000A2B3A">
              <w:rPr>
                <w:rFonts w:ascii="Arial Narrow" w:hAnsi="Arial Narrow"/>
                <w:sz w:val="20"/>
                <w:lang w:val="es-ES_tradnl"/>
              </w:rPr>
              <w:t>Ségota, Dúrdica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  <w:lang w:val="es-ES_tradnl"/>
              </w:rPr>
            </w:pPr>
            <w:r w:rsidRPr="000A2B3A">
              <w:rPr>
                <w:rFonts w:ascii="Arial Narrow" w:hAnsi="Arial Narrow"/>
                <w:sz w:val="20"/>
                <w:lang w:val="es-ES_tradnl"/>
              </w:rPr>
              <w:t>1995</w:t>
            </w:r>
            <w:r w:rsidRPr="000A2B3A">
              <w:rPr>
                <w:rFonts w:ascii="Arial Narrow" w:hAnsi="Arial Narrow"/>
                <w:sz w:val="20"/>
                <w:lang w:val="es-ES_tradnl"/>
              </w:rPr>
              <w:tab/>
            </w:r>
            <w:r w:rsidRPr="000A2B3A">
              <w:rPr>
                <w:rFonts w:ascii="Arial Narrow" w:hAnsi="Arial Narrow"/>
                <w:i/>
                <w:sz w:val="20"/>
                <w:lang w:val="es-ES_tradnl"/>
              </w:rPr>
              <w:t xml:space="preserve">Valores Plásticos del </w:t>
            </w:r>
            <w:r w:rsidRPr="000A2B3A">
              <w:rPr>
                <w:rFonts w:ascii="Arial Narrow" w:hAnsi="Arial Narrow"/>
                <w:i/>
                <w:iCs/>
                <w:sz w:val="20"/>
                <w:lang w:val="es-ES_tradnl"/>
              </w:rPr>
              <w:t>Arte Mexica</w:t>
            </w:r>
            <w:r w:rsidRPr="000A2B3A">
              <w:rPr>
                <w:rFonts w:ascii="Arial Narrow" w:hAnsi="Arial Narrow"/>
                <w:sz w:val="20"/>
                <w:lang w:val="es-ES_tradnl"/>
              </w:rPr>
              <w:t>, México, IIE/UNAM.</w:t>
            </w:r>
          </w:p>
          <w:p w:rsidR="000A2B3A" w:rsidRPr="00D6604D" w:rsidRDefault="000A2B3A" w:rsidP="001964D7">
            <w:pPr>
              <w:rPr>
                <w:rFonts w:ascii="Arial Narrow" w:hAnsi="Arial Narrow"/>
                <w:sz w:val="20"/>
                <w:lang w:val="es-MX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Stirling, M. W.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1961</w:t>
            </w:r>
            <w:r w:rsidRPr="000A2B3A">
              <w:rPr>
                <w:rFonts w:ascii="Arial Narrow" w:hAnsi="Arial Narrow"/>
                <w:sz w:val="20"/>
              </w:rPr>
              <w:tab/>
              <w:t xml:space="preserve">“The olmecs artists in jade”, en </w:t>
            </w:r>
            <w:r w:rsidRPr="000A2B3A">
              <w:rPr>
                <w:rFonts w:ascii="Arial Narrow" w:hAnsi="Arial Narrow"/>
                <w:i/>
                <w:iCs/>
                <w:sz w:val="20"/>
              </w:rPr>
              <w:t>Essays in Pre-Columbian Art and Archaeology</w:t>
            </w:r>
            <w:r w:rsidRPr="000A2B3A">
              <w:rPr>
                <w:rFonts w:ascii="Arial Narrow" w:hAnsi="Arial Narrow"/>
                <w:sz w:val="20"/>
              </w:rPr>
              <w:t>, 4, pp. 43-59.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Stone, Doris</w:t>
            </w:r>
          </w:p>
          <w:p w:rsidR="000A2B3A" w:rsidRPr="000A2B3A" w:rsidRDefault="000A2B3A" w:rsidP="001964D7">
            <w:pPr>
              <w:ind w:left="720" w:hanging="720"/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1982</w:t>
            </w:r>
            <w:r w:rsidRPr="000A2B3A">
              <w:rPr>
                <w:rFonts w:ascii="Arial Narrow" w:hAnsi="Arial Narrow"/>
                <w:sz w:val="20"/>
              </w:rPr>
              <w:tab/>
            </w:r>
            <w:r w:rsidRPr="000A2B3A">
              <w:rPr>
                <w:rFonts w:ascii="Arial Narrow" w:hAnsi="Arial Narrow"/>
                <w:i/>
                <w:sz w:val="20"/>
              </w:rPr>
              <w:t>Aspects of Mixteca-Puebla Style and Mixtec and Central Mexican Culture in Southern Mesoamerica</w:t>
            </w:r>
            <w:r w:rsidRPr="000A2B3A">
              <w:rPr>
                <w:rFonts w:ascii="Arial Narrow" w:hAnsi="Arial Narrow"/>
                <w:sz w:val="20"/>
              </w:rPr>
              <w:t>, Tulane, Middle American Research Institute.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pStyle w:val="Sinespaciad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A2B3A">
              <w:rPr>
                <w:rFonts w:ascii="Arial Narrow" w:hAnsi="Arial Narrow"/>
                <w:sz w:val="20"/>
                <w:szCs w:val="20"/>
                <w:lang w:val="en-US"/>
              </w:rPr>
              <w:t>Willey, Gordon R. and Philip Phillips.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1954</w:t>
            </w:r>
            <w:r w:rsidRPr="000A2B3A">
              <w:rPr>
                <w:rFonts w:ascii="Arial Narrow" w:hAnsi="Arial Narrow"/>
                <w:sz w:val="20"/>
              </w:rPr>
              <w:tab/>
            </w:r>
            <w:r w:rsidRPr="000A2B3A">
              <w:rPr>
                <w:rFonts w:ascii="Arial Narrow" w:hAnsi="Arial Narrow"/>
                <w:i/>
                <w:sz w:val="20"/>
              </w:rPr>
              <w:t>Method and Theory in American Archaeology</w:t>
            </w:r>
            <w:r w:rsidRPr="000A2B3A">
              <w:rPr>
                <w:rFonts w:ascii="Arial Narrow" w:hAnsi="Arial Narrow"/>
                <w:sz w:val="20"/>
              </w:rPr>
              <w:t>, The University of Chicago Press, EUA.</w:t>
            </w: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</w:p>
          <w:p w:rsidR="000A2B3A" w:rsidRPr="000A2B3A" w:rsidRDefault="000A2B3A" w:rsidP="001964D7">
            <w:pPr>
              <w:rPr>
                <w:rFonts w:ascii="Arial Narrow" w:hAnsi="Arial Narrow"/>
                <w:sz w:val="20"/>
              </w:rPr>
            </w:pPr>
            <w:r w:rsidRPr="000A2B3A">
              <w:rPr>
                <w:rFonts w:ascii="Arial Narrow" w:hAnsi="Arial Narrow"/>
                <w:sz w:val="20"/>
              </w:rPr>
              <w:t>2001</w:t>
            </w:r>
            <w:r w:rsidRPr="000A2B3A">
              <w:rPr>
                <w:rFonts w:ascii="Arial Narrow" w:hAnsi="Arial Narrow"/>
                <w:sz w:val="20"/>
              </w:rPr>
              <w:tab/>
            </w:r>
            <w:r w:rsidRPr="000A2B3A">
              <w:rPr>
                <w:rFonts w:ascii="Arial Narrow" w:hAnsi="Arial Narrow"/>
                <w:i/>
                <w:sz w:val="20"/>
              </w:rPr>
              <w:t>Method and Theory in American Archaeology</w:t>
            </w:r>
            <w:r w:rsidRPr="000A2B3A">
              <w:rPr>
                <w:rFonts w:ascii="Arial Narrow" w:hAnsi="Arial Narrow"/>
                <w:sz w:val="20"/>
              </w:rPr>
              <w:t>, New Foreword by Gordon R. Willey, Lee Lyman and Michael J. O´Brien (ed.), The University of Alabama Press, Tuscaloosa and London, USA.</w:t>
            </w:r>
          </w:p>
          <w:p w:rsidR="006A46D8" w:rsidRPr="006A46D8" w:rsidRDefault="006A46D8" w:rsidP="001964D7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:rsidR="00E74B04" w:rsidRPr="00901D47" w:rsidRDefault="00E74B04" w:rsidP="00E74B04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74B04" w:rsidRPr="00D6604D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770CFC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Bibliografía complementaria:</w:t>
            </w:r>
          </w:p>
          <w:p w:rsidR="00922B65" w:rsidRPr="00D6604D" w:rsidRDefault="00E74B04" w:rsidP="00922B65">
            <w:pPr>
              <w:rPr>
                <w:rFonts w:ascii="Arial Narrow" w:hAnsi="Arial Narrow"/>
                <w:sz w:val="20"/>
                <w:lang w:val="es-MX"/>
              </w:rPr>
            </w:pPr>
            <w:r w:rsidRPr="006A46D8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="00922B65" w:rsidRPr="00D6604D">
              <w:rPr>
                <w:rFonts w:ascii="Arial Narrow" w:hAnsi="Arial Narrow"/>
                <w:sz w:val="20"/>
                <w:lang w:val="es-MX"/>
              </w:rPr>
              <w:t xml:space="preserve">Carr Cristopher y Jill E. Nietzel </w:t>
            </w:r>
          </w:p>
          <w:p w:rsidR="00922B65" w:rsidRPr="00922B65" w:rsidRDefault="00922B65" w:rsidP="00922B65">
            <w:pPr>
              <w:rPr>
                <w:rFonts w:ascii="Arial Narrow" w:hAnsi="Arial Narrow"/>
                <w:sz w:val="20"/>
              </w:rPr>
            </w:pPr>
            <w:r w:rsidRPr="00922B65">
              <w:rPr>
                <w:rFonts w:ascii="Arial Narrow" w:hAnsi="Arial Narrow"/>
                <w:sz w:val="20"/>
              </w:rPr>
              <w:t>1995</w:t>
            </w:r>
            <w:r w:rsidRPr="00922B65">
              <w:rPr>
                <w:rFonts w:ascii="Arial Narrow" w:hAnsi="Arial Narrow"/>
                <w:sz w:val="20"/>
              </w:rPr>
              <w:tab/>
              <w:t>“Integrating approaches to material style in theory and philosophy”,</w:t>
            </w:r>
            <w:r w:rsidRPr="00922B65">
              <w:rPr>
                <w:rFonts w:ascii="Arial Narrow" w:hAnsi="Arial Narrow"/>
                <w:b/>
                <w:sz w:val="20"/>
              </w:rPr>
              <w:t xml:space="preserve"> </w:t>
            </w:r>
            <w:r w:rsidRPr="00922B65">
              <w:rPr>
                <w:rFonts w:ascii="Arial Narrow" w:hAnsi="Arial Narrow"/>
                <w:i/>
                <w:sz w:val="20"/>
              </w:rPr>
              <w:t>Style, Society, and person,</w:t>
            </w:r>
            <w:r w:rsidRPr="00922B65">
              <w:rPr>
                <w:rFonts w:ascii="Arial Narrow" w:hAnsi="Arial Narrow"/>
                <w:sz w:val="20"/>
              </w:rPr>
              <w:t xml:space="preserve"> en Christopher Carr y Jill E. Neitzel, (eds.), Archaeological and Ethnological  Perspectives, New York, Plenum Press (Interdisciplinary </w:t>
            </w:r>
            <w:r w:rsidRPr="00922B65">
              <w:rPr>
                <w:rFonts w:ascii="Arial Narrow" w:hAnsi="Arial Narrow"/>
                <w:sz w:val="20"/>
              </w:rPr>
              <w:tab/>
              <w:t>Contributions to Archaeology), pp.3-20.</w:t>
            </w:r>
          </w:p>
          <w:p w:rsidR="00922B65" w:rsidRPr="00922B65" w:rsidRDefault="00922B65" w:rsidP="00922B65">
            <w:pPr>
              <w:rPr>
                <w:rFonts w:ascii="Arial Narrow" w:hAnsi="Arial Narrow"/>
                <w:sz w:val="20"/>
              </w:rPr>
            </w:pPr>
          </w:p>
          <w:p w:rsidR="00922B65" w:rsidRPr="00D6604D" w:rsidRDefault="00922B65" w:rsidP="00922B65">
            <w:pPr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Feinman, Gary M. y Linda M. Nicholas</w:t>
            </w:r>
          </w:p>
          <w:p w:rsidR="00922B65" w:rsidRPr="00922B65" w:rsidRDefault="00922B65" w:rsidP="00922B65">
            <w:pPr>
              <w:ind w:left="705" w:hanging="705"/>
              <w:rPr>
                <w:rFonts w:ascii="Arial Narrow" w:hAnsi="Arial Narrow"/>
                <w:caps/>
                <w:color w:val="000000"/>
                <w:sz w:val="20"/>
                <w:lang w:val="es-ES_tradnl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1995</w:t>
            </w:r>
            <w:r w:rsidRPr="00D6604D">
              <w:rPr>
                <w:rFonts w:ascii="Arial Narrow" w:hAnsi="Arial Narrow"/>
                <w:sz w:val="20"/>
                <w:lang w:val="es-MX"/>
              </w:rPr>
              <w:tab/>
              <w:t xml:space="preserve">“Especialización artesanal en Ejutla prehispánico”, </w:t>
            </w:r>
            <w:r w:rsidRPr="00D6604D">
              <w:rPr>
                <w:rFonts w:ascii="Arial Narrow" w:hAnsi="Arial Narrow"/>
                <w:i/>
                <w:sz w:val="20"/>
                <w:lang w:val="es-MX"/>
              </w:rPr>
              <w:t>Cuadernos del Sur 3</w:t>
            </w:r>
            <w:r w:rsidRPr="00D6604D">
              <w:rPr>
                <w:rFonts w:ascii="Arial Narrow" w:hAnsi="Arial Narrow"/>
                <w:sz w:val="20"/>
                <w:lang w:val="es-MX"/>
              </w:rPr>
              <w:t>, pp. 37-56.</w:t>
            </w:r>
          </w:p>
          <w:p w:rsidR="00922B65" w:rsidRPr="00D6604D" w:rsidRDefault="00922B65" w:rsidP="00922B65">
            <w:pPr>
              <w:pStyle w:val="Textoindependiente2"/>
              <w:spacing w:after="0" w:line="240" w:lineRule="auto"/>
              <w:rPr>
                <w:rFonts w:ascii="Arial Narrow" w:hAnsi="Arial Narrow"/>
                <w:sz w:val="20"/>
                <w:lang w:val="es-MX"/>
              </w:rPr>
            </w:pPr>
          </w:p>
          <w:p w:rsidR="00922B65" w:rsidRPr="00D6604D" w:rsidRDefault="00922B65" w:rsidP="00922B65">
            <w:pPr>
              <w:pStyle w:val="Textoindependiente2"/>
              <w:spacing w:after="0" w:line="240" w:lineRule="auto"/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González González, Carlos Javier y Bertina Olmedo Vera</w:t>
            </w:r>
          </w:p>
          <w:p w:rsidR="00922B65" w:rsidRPr="00D6604D" w:rsidRDefault="00922B65" w:rsidP="00922B65">
            <w:pPr>
              <w:pStyle w:val="Textoindependiente2"/>
              <w:spacing w:after="0" w:line="240" w:lineRule="auto"/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1990</w:t>
            </w:r>
            <w:r w:rsidRPr="00D6604D">
              <w:rPr>
                <w:rFonts w:ascii="Arial Narrow" w:hAnsi="Arial Narrow"/>
                <w:sz w:val="20"/>
                <w:lang w:val="es-MX"/>
              </w:rPr>
              <w:tab/>
            </w:r>
            <w:r w:rsidRPr="00D6604D">
              <w:rPr>
                <w:rFonts w:ascii="Arial Narrow" w:hAnsi="Arial Narrow"/>
                <w:i/>
                <w:iCs/>
                <w:sz w:val="20"/>
                <w:lang w:val="es-MX"/>
              </w:rPr>
              <w:t>Esculturas Mezcala en el Templo Mayor</w:t>
            </w:r>
            <w:r w:rsidRPr="00D6604D">
              <w:rPr>
                <w:rFonts w:ascii="Arial Narrow" w:hAnsi="Arial Narrow"/>
                <w:sz w:val="20"/>
                <w:lang w:val="es-MX"/>
              </w:rPr>
              <w:t>, México, Asociación Amigos del Templo Mayor-INAH-GV Editores.</w:t>
            </w:r>
          </w:p>
          <w:p w:rsidR="00922B65" w:rsidRPr="00D6604D" w:rsidRDefault="00922B65" w:rsidP="00922B65">
            <w:pPr>
              <w:pStyle w:val="Textoindependiente2"/>
              <w:spacing w:after="0" w:line="240" w:lineRule="auto"/>
              <w:rPr>
                <w:rFonts w:ascii="Arial Narrow" w:hAnsi="Arial Narrow"/>
                <w:sz w:val="20"/>
                <w:lang w:val="es-MX"/>
              </w:rPr>
            </w:pPr>
          </w:p>
          <w:p w:rsidR="00922B65" w:rsidRPr="00922B65" w:rsidRDefault="00922B65" w:rsidP="00922B65">
            <w:pPr>
              <w:pStyle w:val="Textoindependiente2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22B65">
              <w:rPr>
                <w:rFonts w:ascii="Arial Narrow" w:hAnsi="Arial Narrow"/>
                <w:sz w:val="20"/>
              </w:rPr>
              <w:t>Gosselain, Olivier P.</w:t>
            </w:r>
          </w:p>
          <w:p w:rsidR="00922B65" w:rsidRPr="00922B65" w:rsidRDefault="00922B65" w:rsidP="00922B65">
            <w:pPr>
              <w:pStyle w:val="Textoindependiente2"/>
              <w:numPr>
                <w:ilvl w:val="0"/>
                <w:numId w:val="43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Arial Narrow" w:hAnsi="Arial Narrow"/>
                <w:sz w:val="20"/>
              </w:rPr>
            </w:pPr>
            <w:r w:rsidRPr="00922B65">
              <w:rPr>
                <w:rFonts w:ascii="Arial Narrow" w:hAnsi="Arial Narrow"/>
                <w:sz w:val="20"/>
              </w:rPr>
              <w:t xml:space="preserve">“Technology and Style: Potters and Pottery among Bafia of Cameroon”, </w:t>
            </w:r>
            <w:r w:rsidRPr="00922B65">
              <w:rPr>
                <w:rFonts w:ascii="Arial Narrow" w:hAnsi="Arial Narrow"/>
                <w:i/>
                <w:iCs/>
                <w:sz w:val="20"/>
              </w:rPr>
              <w:t>Man</w:t>
            </w:r>
            <w:r w:rsidRPr="00922B65">
              <w:rPr>
                <w:rFonts w:ascii="Arial Narrow" w:hAnsi="Arial Narrow"/>
                <w:sz w:val="20"/>
              </w:rPr>
              <w:t xml:space="preserve"> V. 27, No. 3, pp.559-583.</w:t>
            </w:r>
          </w:p>
          <w:p w:rsidR="00922B65" w:rsidRPr="00922B65" w:rsidRDefault="00922B65" w:rsidP="00922B65">
            <w:pPr>
              <w:rPr>
                <w:rFonts w:ascii="Arial Narrow" w:hAnsi="Arial Narrow"/>
                <w:sz w:val="20"/>
              </w:rPr>
            </w:pPr>
          </w:p>
          <w:p w:rsidR="00922B65" w:rsidRPr="00922B65" w:rsidRDefault="00922B65" w:rsidP="00922B65">
            <w:pPr>
              <w:rPr>
                <w:rFonts w:ascii="Arial Narrow" w:hAnsi="Arial Narrow"/>
                <w:sz w:val="20"/>
              </w:rPr>
            </w:pPr>
            <w:r w:rsidRPr="00922B65">
              <w:rPr>
                <w:rFonts w:ascii="Arial Narrow" w:hAnsi="Arial Narrow"/>
                <w:sz w:val="20"/>
              </w:rPr>
              <w:t>Kovacevich Brigitte</w:t>
            </w:r>
          </w:p>
          <w:p w:rsidR="00922B65" w:rsidRPr="00922B65" w:rsidRDefault="00922B65" w:rsidP="00922B65">
            <w:pPr>
              <w:rPr>
                <w:rFonts w:ascii="Arial Narrow" w:hAnsi="Arial Narrow"/>
                <w:color w:val="000000"/>
                <w:sz w:val="20"/>
              </w:rPr>
            </w:pPr>
            <w:r w:rsidRPr="00922B65">
              <w:rPr>
                <w:rFonts w:ascii="Arial Narrow" w:hAnsi="Arial Narrow"/>
                <w:color w:val="000000"/>
                <w:sz w:val="20"/>
              </w:rPr>
              <w:t>2006</w:t>
            </w:r>
            <w:r w:rsidRPr="00922B65">
              <w:rPr>
                <w:rFonts w:ascii="Arial Narrow" w:hAnsi="Arial Narrow"/>
                <w:color w:val="000000"/>
                <w:sz w:val="20"/>
              </w:rPr>
              <w:tab/>
            </w:r>
            <w:r w:rsidRPr="00922B65">
              <w:rPr>
                <w:rFonts w:ascii="Arial Narrow" w:hAnsi="Arial Narrow"/>
                <w:i/>
                <w:color w:val="000000"/>
                <w:sz w:val="20"/>
              </w:rPr>
              <w:t>Reconstructing Classic Maya Economic Systems: Production and Exchange at Cancuen, Guatemala</w:t>
            </w:r>
            <w:r w:rsidRPr="00922B65">
              <w:rPr>
                <w:rFonts w:ascii="Arial Narrow" w:hAnsi="Arial Narrow"/>
                <w:color w:val="000000"/>
                <w:sz w:val="20"/>
              </w:rPr>
              <w:t xml:space="preserve">, Tesis de doctorado en filosofía, Nashville, Vanderbilt University. </w:t>
            </w:r>
          </w:p>
          <w:p w:rsidR="00922B65" w:rsidRPr="00922B65" w:rsidRDefault="00922B65" w:rsidP="00922B65">
            <w:pPr>
              <w:rPr>
                <w:rFonts w:ascii="Arial Narrow" w:hAnsi="Arial Narrow"/>
                <w:sz w:val="20"/>
              </w:rPr>
            </w:pPr>
          </w:p>
          <w:p w:rsidR="00922B65" w:rsidRPr="00D6604D" w:rsidRDefault="00922B65" w:rsidP="00922B65">
            <w:pPr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Melgar Tísoc, Emiliano Ricardo</w:t>
            </w:r>
          </w:p>
          <w:p w:rsidR="00922B65" w:rsidRPr="00D6604D" w:rsidRDefault="00922B65" w:rsidP="00922B65">
            <w:pPr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2014</w:t>
            </w:r>
            <w:r w:rsidRPr="00D6604D">
              <w:rPr>
                <w:rFonts w:ascii="Arial Narrow" w:hAnsi="Arial Narrow"/>
                <w:sz w:val="20"/>
                <w:lang w:val="es-MX"/>
              </w:rPr>
              <w:tab/>
            </w:r>
            <w:r w:rsidRPr="00D6604D">
              <w:rPr>
                <w:rFonts w:ascii="Arial Narrow" w:hAnsi="Arial Narrow"/>
                <w:i/>
                <w:sz w:val="20"/>
                <w:lang w:val="es-MX"/>
              </w:rPr>
              <w:t>Comercio tributo y producción de las turquesas del Templo Mayor de Tenochtitlan</w:t>
            </w:r>
            <w:r w:rsidRPr="00D6604D">
              <w:rPr>
                <w:rFonts w:ascii="Arial Narrow" w:hAnsi="Arial Narrow"/>
                <w:sz w:val="20"/>
                <w:lang w:val="es-MX"/>
              </w:rPr>
              <w:t>, Tesis de Doctorado en Antropología, Facultad de Filosofía y Letras, Instituto de Investigaciones Antropológicas, UNAM, México, 2014.</w:t>
            </w:r>
          </w:p>
          <w:p w:rsidR="00922B65" w:rsidRPr="00D6604D" w:rsidRDefault="00922B65" w:rsidP="00922B65">
            <w:pPr>
              <w:rPr>
                <w:rFonts w:ascii="Arial Narrow" w:hAnsi="Arial Narrow"/>
                <w:sz w:val="20"/>
                <w:lang w:val="es-MX"/>
              </w:rPr>
            </w:pPr>
          </w:p>
          <w:p w:rsidR="00922B65" w:rsidRPr="00922B65" w:rsidRDefault="00922B65" w:rsidP="00922B65">
            <w:pPr>
              <w:rPr>
                <w:rFonts w:ascii="Arial Narrow" w:hAnsi="Arial Narrow"/>
                <w:sz w:val="20"/>
              </w:rPr>
            </w:pPr>
            <w:r w:rsidRPr="00922B65">
              <w:rPr>
                <w:rFonts w:ascii="Arial Narrow" w:hAnsi="Arial Narrow"/>
                <w:sz w:val="20"/>
              </w:rPr>
              <w:t>Minc, Leah D.</w:t>
            </w:r>
          </w:p>
          <w:p w:rsidR="006A46D8" w:rsidRPr="00922B65" w:rsidRDefault="00922B65" w:rsidP="00922B65">
            <w:pPr>
              <w:ind w:left="-57" w:right="-57"/>
              <w:jc w:val="both"/>
              <w:rPr>
                <w:rFonts w:ascii="Arial Narrow" w:hAnsi="Arial Narrow"/>
                <w:sz w:val="20"/>
              </w:rPr>
            </w:pPr>
            <w:r w:rsidRPr="00922B65">
              <w:rPr>
                <w:rFonts w:ascii="Arial Narrow" w:hAnsi="Arial Narrow"/>
                <w:sz w:val="20"/>
              </w:rPr>
              <w:lastRenderedPageBreak/>
              <w:t>2009</w:t>
            </w:r>
            <w:r w:rsidRPr="00922B65">
              <w:rPr>
                <w:rFonts w:ascii="Arial Narrow" w:hAnsi="Arial Narrow"/>
                <w:sz w:val="20"/>
              </w:rPr>
              <w:tab/>
              <w:t xml:space="preserve">“Style and Substance: Evidence for Regionalism within the Aztec Market System”, </w:t>
            </w:r>
            <w:r w:rsidRPr="00922B65">
              <w:rPr>
                <w:rFonts w:ascii="Arial Narrow" w:hAnsi="Arial Narrow"/>
                <w:i/>
                <w:sz w:val="20"/>
              </w:rPr>
              <w:t>Latin American Antiquity</w:t>
            </w:r>
            <w:r w:rsidRPr="00922B65">
              <w:rPr>
                <w:rFonts w:ascii="Arial Narrow" w:hAnsi="Arial Narrow"/>
                <w:sz w:val="20"/>
              </w:rPr>
              <w:t>, vol. 20, núm. 2, pp. 343-374</w:t>
            </w:r>
          </w:p>
          <w:p w:rsidR="00922B65" w:rsidRDefault="00922B65" w:rsidP="00922B65">
            <w:pPr>
              <w:jc w:val="both"/>
              <w:rPr>
                <w:rFonts w:ascii="Arial Narrow" w:hAnsi="Arial Narrow"/>
                <w:sz w:val="20"/>
              </w:rPr>
            </w:pPr>
          </w:p>
          <w:p w:rsidR="00922B65" w:rsidRPr="00D6604D" w:rsidRDefault="00922B65" w:rsidP="00922B65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>Solís Ciriaco, Reyna B.</w:t>
            </w:r>
          </w:p>
          <w:p w:rsidR="00922B65" w:rsidRPr="00D6604D" w:rsidRDefault="00922B65" w:rsidP="00922B65">
            <w:pPr>
              <w:jc w:val="both"/>
              <w:rPr>
                <w:rFonts w:ascii="Arial Narrow" w:hAnsi="Arial Narrow"/>
                <w:sz w:val="20"/>
                <w:lang w:val="es-MX"/>
              </w:rPr>
            </w:pPr>
            <w:r w:rsidRPr="00D6604D">
              <w:rPr>
                <w:rFonts w:ascii="Arial Narrow" w:hAnsi="Arial Narrow"/>
                <w:sz w:val="20"/>
                <w:lang w:val="es-MX"/>
              </w:rPr>
              <w:t xml:space="preserve">2015 </w:t>
            </w:r>
            <w:r w:rsidRPr="00D6604D">
              <w:rPr>
                <w:rFonts w:ascii="Arial Narrow" w:hAnsi="Arial Narrow"/>
                <w:i/>
                <w:sz w:val="20"/>
                <w:lang w:val="es-MX"/>
              </w:rPr>
              <w:t>Esferas de Producción y consumo de los objetos lapidarios en las estructuras aledañas del Templo Mayor de Tenochtitlan</w:t>
            </w:r>
            <w:r w:rsidRPr="00D6604D">
              <w:rPr>
                <w:rFonts w:ascii="Arial Narrow" w:hAnsi="Arial Narrow"/>
                <w:sz w:val="20"/>
                <w:lang w:val="es-MX"/>
              </w:rPr>
              <w:t>, Tesis de Doctorado en Antropología, Facultad de Filosofía y Letras, Instituto de Investigaciones Antropológicas, UNAM, México</w:t>
            </w:r>
          </w:p>
          <w:p w:rsidR="00E74B04" w:rsidRPr="00922B65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74B04" w:rsidRPr="009F0857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 xml:space="preserve">Sugerencias </w:t>
            </w:r>
            <w:r w:rsidRPr="00010993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didácticas:</w:t>
            </w:r>
            <w:r w:rsidR="009F0857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9F085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9F085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9F085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9F085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9F085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9F085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9F085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9F085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9F0857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0857">
              <w:rPr>
                <w:rFonts w:ascii="Arial Narrow" w:hAnsi="Arial Narrow" w:cs="Arial"/>
                <w:sz w:val="18"/>
                <w:szCs w:val="18"/>
              </w:rPr>
              <w:t>Seminario                                                       (  )</w:t>
            </w:r>
          </w:p>
          <w:p w:rsidR="00E74B04" w:rsidRPr="009F0857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F0857">
              <w:rPr>
                <w:rFonts w:ascii="Arial Narrow" w:hAnsi="Arial Narrow" w:cs="Arial"/>
                <w:sz w:val="18"/>
                <w:szCs w:val="18"/>
              </w:rPr>
              <w:t>Otras:                                                              (  )</w:t>
            </w:r>
          </w:p>
          <w:p w:rsidR="00E74B04" w:rsidRPr="009F0857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A0" w:rsidRDefault="00107BA0" w:rsidP="00E74B04">
      <w:r>
        <w:separator/>
      </w:r>
    </w:p>
  </w:endnote>
  <w:endnote w:type="continuationSeparator" w:id="0">
    <w:p w:rsidR="00107BA0" w:rsidRDefault="00107BA0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470B87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470B87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660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A0" w:rsidRDefault="00107BA0" w:rsidP="00E74B04">
      <w:r>
        <w:separator/>
      </w:r>
    </w:p>
  </w:footnote>
  <w:footnote w:type="continuationSeparator" w:id="0">
    <w:p w:rsidR="00107BA0" w:rsidRDefault="00107BA0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5511D02"/>
    <w:multiLevelType w:val="hybridMultilevel"/>
    <w:tmpl w:val="8BD83F92"/>
    <w:lvl w:ilvl="0" w:tplc="5024D1C8">
      <w:start w:val="1992"/>
      <w:numFmt w:val="decimal"/>
      <w:lvlText w:val="%1"/>
      <w:lvlJc w:val="left"/>
      <w:pPr>
        <w:tabs>
          <w:tab w:val="num" w:pos="900"/>
        </w:tabs>
        <w:ind w:left="900" w:hanging="5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36"/>
  </w:num>
  <w:num w:numId="4">
    <w:abstractNumId w:val="17"/>
  </w:num>
  <w:num w:numId="5">
    <w:abstractNumId w:val="41"/>
  </w:num>
  <w:num w:numId="6">
    <w:abstractNumId w:val="42"/>
  </w:num>
  <w:num w:numId="7">
    <w:abstractNumId w:val="26"/>
  </w:num>
  <w:num w:numId="8">
    <w:abstractNumId w:val="8"/>
  </w:num>
  <w:num w:numId="9">
    <w:abstractNumId w:val="32"/>
  </w:num>
  <w:num w:numId="10">
    <w:abstractNumId w:val="20"/>
  </w:num>
  <w:num w:numId="11">
    <w:abstractNumId w:val="10"/>
  </w:num>
  <w:num w:numId="12">
    <w:abstractNumId w:val="24"/>
  </w:num>
  <w:num w:numId="13">
    <w:abstractNumId w:val="22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1"/>
  </w:num>
  <w:num w:numId="19">
    <w:abstractNumId w:val="2"/>
  </w:num>
  <w:num w:numId="20">
    <w:abstractNumId w:val="37"/>
  </w:num>
  <w:num w:numId="21">
    <w:abstractNumId w:val="18"/>
  </w:num>
  <w:num w:numId="22">
    <w:abstractNumId w:val="23"/>
  </w:num>
  <w:num w:numId="23">
    <w:abstractNumId w:val="0"/>
  </w:num>
  <w:num w:numId="24">
    <w:abstractNumId w:val="14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3"/>
  </w:num>
  <w:num w:numId="30">
    <w:abstractNumId w:val="7"/>
  </w:num>
  <w:num w:numId="31">
    <w:abstractNumId w:val="29"/>
  </w:num>
  <w:num w:numId="32">
    <w:abstractNumId w:val="21"/>
  </w:num>
  <w:num w:numId="33">
    <w:abstractNumId w:val="9"/>
  </w:num>
  <w:num w:numId="34">
    <w:abstractNumId w:val="30"/>
  </w:num>
  <w:num w:numId="35">
    <w:abstractNumId w:val="16"/>
  </w:num>
  <w:num w:numId="36">
    <w:abstractNumId w:val="13"/>
  </w:num>
  <w:num w:numId="37">
    <w:abstractNumId w:val="19"/>
  </w:num>
  <w:num w:numId="38">
    <w:abstractNumId w:val="12"/>
  </w:num>
  <w:num w:numId="39">
    <w:abstractNumId w:val="27"/>
  </w:num>
  <w:num w:numId="40">
    <w:abstractNumId w:val="4"/>
  </w:num>
  <w:num w:numId="41">
    <w:abstractNumId w:val="5"/>
  </w:num>
  <w:num w:numId="42">
    <w:abstractNumId w:val="1"/>
  </w:num>
  <w:num w:numId="43">
    <w:abstractNumId w:val="15"/>
    <w:lvlOverride w:ilvl="0">
      <w:startOverride w:val="199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10993"/>
    <w:rsid w:val="0005477B"/>
    <w:rsid w:val="000A2B3A"/>
    <w:rsid w:val="00107BA0"/>
    <w:rsid w:val="00113C42"/>
    <w:rsid w:val="001964D7"/>
    <w:rsid w:val="001D65E5"/>
    <w:rsid w:val="00470B87"/>
    <w:rsid w:val="004D42B9"/>
    <w:rsid w:val="00593255"/>
    <w:rsid w:val="006A46D8"/>
    <w:rsid w:val="006D7663"/>
    <w:rsid w:val="00703994"/>
    <w:rsid w:val="00794756"/>
    <w:rsid w:val="008620AF"/>
    <w:rsid w:val="00922B65"/>
    <w:rsid w:val="009F0857"/>
    <w:rsid w:val="009F6C0D"/>
    <w:rsid w:val="00A134C6"/>
    <w:rsid w:val="00AB45F0"/>
    <w:rsid w:val="00B04BB9"/>
    <w:rsid w:val="00B16DA6"/>
    <w:rsid w:val="00BB5CFC"/>
    <w:rsid w:val="00D6604D"/>
    <w:rsid w:val="00D83C68"/>
    <w:rsid w:val="00DD2CCE"/>
    <w:rsid w:val="00E74B04"/>
    <w:rsid w:val="00EF7DAF"/>
    <w:rsid w:val="00F2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0B87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customStyle="1" w:styleId="Puesto">
    <w:name w:val="Puesto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1">
    <w:name w:val="Subtle Emphasis1"/>
    <w:rsid w:val="000546D0"/>
    <w:rPr>
      <w:rFonts w:cs="Times New Roman"/>
      <w:i/>
      <w:iCs/>
      <w:color w:val="808080"/>
    </w:rPr>
  </w:style>
  <w:style w:type="paragraph" w:customStyle="1" w:styleId="NoSpacing1">
    <w:name w:val="No Spacing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1">
    <w:name w:val="Body Text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Sinespaciado">
    <w:name w:val="No Spacing"/>
    <w:uiPriority w:val="1"/>
    <w:qFormat/>
    <w:rsid w:val="000A2B3A"/>
    <w:pPr>
      <w:jc w:val="both"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1335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ESTUDIOS SEGÚN FORMATO</vt:lpstr>
      <vt:lpstr>PLAN DE ESTUDIOS SEGÚN FORMATO</vt:lpstr>
    </vt:vector>
  </TitlesOfParts>
  <Company>ILIA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2011-08-11T18:16:00Z</cp:lastPrinted>
  <dcterms:created xsi:type="dcterms:W3CDTF">2016-12-01T17:51:00Z</dcterms:created>
  <dcterms:modified xsi:type="dcterms:W3CDTF">2016-12-01T20:17:00Z</dcterms:modified>
</cp:coreProperties>
</file>