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5"/>
        <w:gridCol w:w="1233"/>
        <w:gridCol w:w="1688"/>
        <w:gridCol w:w="741"/>
        <w:gridCol w:w="901"/>
        <w:gridCol w:w="1263"/>
        <w:gridCol w:w="1350"/>
      </w:tblGrid>
      <w:tr w:rsidR="00E74B04" w:rsidRPr="005F6070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cr/>
            </w:r>
            <w:r w:rsidR="001B3A32" w:rsidRPr="001B3A32">
              <w:rPr>
                <w:rFonts w:cs="Helvetica"/>
                <w:noProof/>
                <w:sz w:val="18"/>
                <w:szCs w:val="18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AB7595" w:rsidRDefault="001B3A32" w:rsidP="00E74B04">
            <w:pPr>
              <w:jc w:val="center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1B3A32">
              <w:rPr>
                <w:rFonts w:cs="Helvetica"/>
                <w:noProof/>
                <w:sz w:val="18"/>
                <w:szCs w:val="18"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AB7595">
              <w:rPr>
                <w:rFonts w:cs="Helvetica"/>
                <w:b/>
                <w:sz w:val="18"/>
                <w:szCs w:val="18"/>
                <w:lang w:val="es-MX"/>
              </w:rPr>
              <w:t>UNIVERSIDAD NACIONAL AUTÓNOMA DE MÉXICO</w:t>
            </w:r>
          </w:p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PROGRAMA DE MAESTRIA Y DOCTORADO EN </w:t>
            </w:r>
          </w:p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 ESTUDIOS MESOAMERICANOS</w:t>
            </w:r>
          </w:p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FACULTAD DE FILOSOFÍA Y LETRAS</w:t>
            </w:r>
          </w:p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INSTITUTO DE INVESTIGACIONES FILOLÓGICAS</w:t>
            </w:r>
          </w:p>
          <w:p w:rsidR="00E74B04" w:rsidRPr="00AB7595" w:rsidRDefault="00E74B04" w:rsidP="00E74B04">
            <w:pPr>
              <w:jc w:val="center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ES"/>
              </w:rPr>
              <w:t>Programa de actividad académica</w:t>
            </w:r>
          </w:p>
        </w:tc>
      </w:tr>
      <w:tr w:rsidR="00E74B04" w:rsidRPr="005F6070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5F6070" w:rsidRDefault="00E74B04" w:rsidP="006D7663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Denominación: </w:t>
            </w:r>
            <w:r w:rsidR="00A43C73" w:rsidRPr="00A43C73"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  <w:t>Seminario Monográfico - Tradiciones culturales indígenas después de la conquista II</w:t>
            </w:r>
            <w:r w:rsidR="00A43C73"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  <w:t>.</w:t>
            </w: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AB7595" w:rsidRDefault="005F6070" w:rsidP="006D7663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>
              <w:rPr>
                <w:rFonts w:cs="Helvetica"/>
                <w:b/>
                <w:sz w:val="18"/>
                <w:szCs w:val="18"/>
                <w:lang w:val="es-MX"/>
              </w:rPr>
              <w:t xml:space="preserve">Subtema: </w:t>
            </w:r>
            <w:r w:rsidR="001270F1" w:rsidRPr="00AB7595">
              <w:rPr>
                <w:rFonts w:cs="Helvetica"/>
                <w:sz w:val="18"/>
                <w:szCs w:val="18"/>
                <w:lang w:val="es-MX"/>
              </w:rPr>
              <w:t>Vida cotidiana en el ámbito ma</w:t>
            </w:r>
            <w:r w:rsidR="00035D63" w:rsidRPr="00AB7595">
              <w:rPr>
                <w:rFonts w:cs="Helvetica"/>
                <w:sz w:val="18"/>
                <w:szCs w:val="18"/>
                <w:lang w:val="es-MX"/>
              </w:rPr>
              <w:t>ya colonial: fuentes, marcos conceptuales y metodologías.</w:t>
            </w:r>
          </w:p>
        </w:tc>
      </w:tr>
      <w:tr w:rsidR="00E74B04" w:rsidRPr="00AB7595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Clave: </w:t>
            </w:r>
            <w:r w:rsidR="00A43C73">
              <w:rPr>
                <w:rFonts w:cs="Helvetica"/>
                <w:b/>
                <w:sz w:val="18"/>
                <w:szCs w:val="18"/>
                <w:lang w:val="es-MX"/>
              </w:rPr>
              <w:t>67890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Semestre:</w:t>
            </w:r>
          </w:p>
          <w:p w:rsidR="00E74B04" w:rsidRPr="00AB7595" w:rsidRDefault="00C672CF" w:rsidP="00E74B04">
            <w:pPr>
              <w:jc w:val="center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2017-1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AB7595" w:rsidRDefault="006D7663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Campo de conocimiento:</w:t>
            </w:r>
            <w:r w:rsidR="00A43C73">
              <w:rPr>
                <w:rFonts w:cs="Helvetica"/>
                <w:b/>
                <w:sz w:val="18"/>
                <w:szCs w:val="18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bCs/>
                <w:kern w:val="32"/>
                <w:sz w:val="18"/>
                <w:szCs w:val="18"/>
                <w:lang w:val="es-ES" w:eastAsia="es-ES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No. </w:t>
            </w:r>
            <w:r w:rsidRPr="00AB7595">
              <w:rPr>
                <w:rFonts w:cs="Helvetica"/>
                <w:b/>
                <w:sz w:val="18"/>
                <w:szCs w:val="18"/>
              </w:rPr>
              <w:t xml:space="preserve">de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créditos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: </w:t>
            </w:r>
            <w:r w:rsidR="00A43C73">
              <w:rPr>
                <w:rFonts w:cs="Helvetica"/>
                <w:b/>
                <w:sz w:val="18"/>
                <w:szCs w:val="18"/>
              </w:rPr>
              <w:t>4</w:t>
            </w:r>
          </w:p>
        </w:tc>
      </w:tr>
      <w:tr w:rsidR="00E74B04" w:rsidRPr="00AB7595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AB7595" w:rsidRDefault="00E74B04" w:rsidP="00C672CF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Carácter: Obligatoria (  ) Optativa ( X )    de elección  (</w:t>
            </w:r>
            <w:r w:rsidR="00C672CF" w:rsidRPr="00AB7595">
              <w:rPr>
                <w:rFonts w:cs="Helvetica"/>
                <w:b/>
                <w:sz w:val="18"/>
                <w:szCs w:val="18"/>
                <w:lang w:val="es-MX"/>
              </w:rPr>
              <w:t>X</w:t>
            </w: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Horas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por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semana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Horas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 al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semestre</w:t>
            </w:r>
            <w:proofErr w:type="spellEnd"/>
          </w:p>
        </w:tc>
      </w:tr>
      <w:tr w:rsidR="00E74B04" w:rsidRPr="00AB7595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AB7595" w:rsidRDefault="00E74B04" w:rsidP="00E74B04">
            <w:pPr>
              <w:rPr>
                <w:rFonts w:cs="Helvetica"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Tipo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: </w:t>
            </w:r>
            <w:proofErr w:type="spellStart"/>
            <w:r w:rsidR="00A43C73">
              <w:rPr>
                <w:rFonts w:cs="Helvetica"/>
                <w:b/>
                <w:sz w:val="18"/>
                <w:szCs w:val="18"/>
              </w:rPr>
              <w:t>Seminario</w:t>
            </w:r>
            <w:proofErr w:type="spellEnd"/>
            <w:r w:rsidR="00A43C73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="00A43C73">
              <w:rPr>
                <w:rFonts w:cs="Helvetica"/>
                <w:b/>
                <w:sz w:val="18"/>
                <w:szCs w:val="18"/>
              </w:rPr>
              <w:t>monográfico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Teoría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Práctica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AB7595" w:rsidRDefault="00C672CF" w:rsidP="00E74B04">
            <w:pPr>
              <w:jc w:val="center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AB7595" w:rsidRDefault="00C672CF" w:rsidP="005F6070">
            <w:pPr>
              <w:jc w:val="center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>32</w:t>
            </w:r>
          </w:p>
        </w:tc>
      </w:tr>
      <w:tr w:rsidR="00E74B04" w:rsidRPr="00AB7595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AB7595" w:rsidRDefault="00434C46" w:rsidP="00E74B0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AB7595" w:rsidRDefault="00434C46" w:rsidP="00E74B04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</w:p>
        </w:tc>
      </w:tr>
      <w:tr w:rsidR="00E74B04" w:rsidRPr="00AB7595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Modalidad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: </w:t>
            </w:r>
            <w:proofErr w:type="spellStart"/>
            <w:r w:rsidR="00A43C73">
              <w:rPr>
                <w:rFonts w:cs="Helvetica"/>
                <w:b/>
                <w:sz w:val="18"/>
                <w:szCs w:val="18"/>
              </w:rPr>
              <w:t>Seminario</w:t>
            </w:r>
            <w:proofErr w:type="spellEnd"/>
            <w:r w:rsidR="00A43C73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="00A43C73">
              <w:rPr>
                <w:rFonts w:cs="Helvetica"/>
                <w:b/>
                <w:sz w:val="18"/>
                <w:szCs w:val="18"/>
              </w:rPr>
              <w:t>monográfico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Duración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 del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programa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: </w:t>
            </w:r>
            <w:proofErr w:type="spellStart"/>
            <w:r w:rsidRPr="00AB7595">
              <w:rPr>
                <w:rFonts w:cs="Helvetica"/>
                <w:sz w:val="18"/>
                <w:szCs w:val="18"/>
              </w:rPr>
              <w:t>Semestral</w:t>
            </w:r>
            <w:proofErr w:type="spellEnd"/>
          </w:p>
        </w:tc>
      </w:tr>
    </w:tbl>
    <w:p w:rsidR="00E74B04" w:rsidRPr="00AB7595" w:rsidRDefault="00E74B04" w:rsidP="00E74B04">
      <w:pPr>
        <w:rPr>
          <w:rFonts w:cs="Helvetica"/>
          <w:sz w:val="18"/>
          <w:szCs w:val="18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5F6070">
        <w:trPr>
          <w:trHeight w:val="240"/>
          <w:jc w:val="center"/>
        </w:trPr>
        <w:tc>
          <w:tcPr>
            <w:tcW w:w="8882" w:type="dxa"/>
          </w:tcPr>
          <w:p w:rsidR="00E74B04" w:rsidRPr="00AB7595" w:rsidRDefault="006D7663" w:rsidP="00E74B04">
            <w:pPr>
              <w:rPr>
                <w:rFonts w:cs="Helvetica"/>
                <w:b/>
                <w:bCs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bCs/>
                <w:sz w:val="18"/>
                <w:szCs w:val="18"/>
                <w:lang w:val="es-MX"/>
              </w:rPr>
              <w:t xml:space="preserve">Seriación:       No ( </w:t>
            </w:r>
            <w:r w:rsidR="00E74B04" w:rsidRPr="00AB7595">
              <w:rPr>
                <w:rFonts w:cs="Helvetica"/>
                <w:b/>
                <w:bCs/>
                <w:sz w:val="18"/>
                <w:szCs w:val="18"/>
                <w:lang w:val="es-MX"/>
              </w:rPr>
              <w:t xml:space="preserve"> )         Si ( </w:t>
            </w:r>
            <w:r w:rsidR="005F51A9">
              <w:rPr>
                <w:rFonts w:cs="Helvetica"/>
                <w:b/>
                <w:bCs/>
                <w:sz w:val="18"/>
                <w:szCs w:val="18"/>
                <w:lang w:val="es-MX"/>
              </w:rPr>
              <w:t>X</w:t>
            </w:r>
            <w:r w:rsidR="00E74B04" w:rsidRPr="00AB7595">
              <w:rPr>
                <w:rFonts w:cs="Helvetica"/>
                <w:b/>
                <w:bCs/>
                <w:sz w:val="18"/>
                <w:szCs w:val="18"/>
                <w:lang w:val="es-MX"/>
              </w:rPr>
              <w:t xml:space="preserve"> )         Obligatoria (     )      Indicativa (</w:t>
            </w:r>
            <w:r w:rsidR="005F51A9">
              <w:rPr>
                <w:rFonts w:cs="Helvetica"/>
                <w:b/>
                <w:bCs/>
                <w:sz w:val="18"/>
                <w:szCs w:val="18"/>
                <w:lang w:val="es-MX"/>
              </w:rPr>
              <w:t>X</w:t>
            </w:r>
            <w:r w:rsidR="00E74B04" w:rsidRPr="00AB7595">
              <w:rPr>
                <w:rFonts w:cs="Helvetica"/>
                <w:b/>
                <w:bCs/>
                <w:sz w:val="18"/>
                <w:szCs w:val="18"/>
                <w:lang w:val="es-MX"/>
              </w:rPr>
              <w:t xml:space="preserve">  )</w:t>
            </w:r>
          </w:p>
          <w:p w:rsidR="00E74B04" w:rsidRPr="00AB7595" w:rsidRDefault="00E74B04" w:rsidP="00E74B04">
            <w:pPr>
              <w:rPr>
                <w:rFonts w:cs="Helvetica"/>
                <w:b/>
                <w:bCs/>
                <w:sz w:val="18"/>
                <w:szCs w:val="18"/>
                <w:lang w:val="es-ES" w:eastAsia="es-ES"/>
              </w:rPr>
            </w:pPr>
          </w:p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Actividad académica subsecuente: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</w:p>
          <w:p w:rsidR="00C672CF" w:rsidRPr="00A43C73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Actividad académica antecedente: </w:t>
            </w:r>
            <w:r w:rsidR="00A43C73" w:rsidRPr="00A43C73"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  <w:t>Seminario Monográfico - Tradiciones culturales indígenas después de la conquista II</w:t>
            </w:r>
            <w:r w:rsidR="00A43C73"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  <w:t>.</w:t>
            </w:r>
          </w:p>
        </w:tc>
      </w:tr>
      <w:tr w:rsidR="00E74B04" w:rsidRPr="005F6070">
        <w:trPr>
          <w:trHeight w:val="375"/>
          <w:jc w:val="center"/>
        </w:trPr>
        <w:tc>
          <w:tcPr>
            <w:tcW w:w="8882" w:type="dxa"/>
          </w:tcPr>
          <w:p w:rsidR="00E74B04" w:rsidRPr="00AB7595" w:rsidRDefault="00E74B04" w:rsidP="00E74B04">
            <w:pPr>
              <w:pStyle w:val="Textoindependiente"/>
              <w:spacing w:after="0"/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Objetivos generales: </w:t>
            </w:r>
          </w:p>
          <w:p w:rsidR="00C672CF" w:rsidRPr="00AB7595" w:rsidRDefault="00C672CF" w:rsidP="00C672CF">
            <w:pPr>
              <w:pStyle w:val="Textoindependiente"/>
              <w:spacing w:after="0"/>
              <w:jc w:val="both"/>
              <w:rPr>
                <w:rFonts w:cs="Helvetica"/>
                <w:b/>
                <w:color w:val="FF0000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Ofrecer un panorama general de la vida cotidiana durante la época colonial, factible de percibir a través del estudio de documentos lingüísticos (artes, vocabularios, cartillas) e históricos (testamentos, ordenanzas, visitas, memoriales, pleitos civiles y criminales) analizados desde una perspectiva etnológica.</w:t>
            </w:r>
          </w:p>
        </w:tc>
      </w:tr>
      <w:tr w:rsidR="00E74B04" w:rsidRPr="005F6070">
        <w:trPr>
          <w:trHeight w:val="948"/>
          <w:jc w:val="center"/>
        </w:trPr>
        <w:tc>
          <w:tcPr>
            <w:tcW w:w="8882" w:type="dxa"/>
          </w:tcPr>
          <w:p w:rsidR="00E74B04" w:rsidRPr="00AB7595" w:rsidRDefault="00E74B04" w:rsidP="00E74B04">
            <w:pPr>
              <w:pStyle w:val="Textoindependiente"/>
              <w:spacing w:after="0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Objetivos específicos: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</w:p>
          <w:p w:rsidR="00D17BC2" w:rsidRPr="00AB7595" w:rsidRDefault="00D17BC2" w:rsidP="00D17BC2">
            <w:pPr>
              <w:pStyle w:val="Prrafodelista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a) </w:t>
            </w:r>
            <w:r w:rsidR="00C672CF" w:rsidRPr="00AB7595">
              <w:rPr>
                <w:rFonts w:ascii="Helvetica" w:hAnsi="Helvetica" w:cs="Helvetica"/>
                <w:sz w:val="18"/>
                <w:szCs w:val="18"/>
              </w:rPr>
              <w:t xml:space="preserve">Introducir a </w:t>
            </w:r>
            <w:proofErr w:type="spellStart"/>
            <w:r w:rsidRPr="00AB7595">
              <w:rPr>
                <w:rFonts w:ascii="Helvetica" w:hAnsi="Helvetica" w:cs="Helvetica"/>
                <w:sz w:val="18"/>
                <w:szCs w:val="18"/>
              </w:rPr>
              <w:t>a</w:t>
            </w:r>
            <w:proofErr w:type="spellEnd"/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 los estudiantes </w:t>
            </w:r>
            <w:r w:rsidR="00C672CF" w:rsidRPr="00AB7595">
              <w:rPr>
                <w:rFonts w:ascii="Helvetica" w:hAnsi="Helvetica" w:cs="Helvetica"/>
                <w:sz w:val="18"/>
                <w:szCs w:val="18"/>
              </w:rPr>
              <w:t>a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C672CF" w:rsidRPr="00AB7595">
              <w:rPr>
                <w:rFonts w:ascii="Helvetica" w:hAnsi="Helvetica" w:cs="Helvetica"/>
                <w:sz w:val="18"/>
                <w:szCs w:val="18"/>
              </w:rPr>
              <w:t>los marcos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 conceptuales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 xml:space="preserve"> comúnmente empleadas por la etnología para 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>aproxima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 xml:space="preserve">rse 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al estudio 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 xml:space="preserve">de la vida cotidiana, tanto desde una perspectiva actual como 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>históric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>a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 xml:space="preserve">tomado como ejemplo 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 xml:space="preserve">particular 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 xml:space="preserve">lo realizado en </w:t>
            </w:r>
            <w:r w:rsidRPr="00AB7595">
              <w:rPr>
                <w:rFonts w:ascii="Helvetica" w:hAnsi="Helvetica" w:cs="Helvetica"/>
                <w:sz w:val="18"/>
                <w:szCs w:val="18"/>
              </w:rPr>
              <w:t>el área maya</w:t>
            </w:r>
            <w:r w:rsidR="008F33BD" w:rsidRPr="00AB7595"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8F33BD" w:rsidRPr="00AB7595" w:rsidRDefault="00D17BC2" w:rsidP="00D17BC2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b) Proporcionar a los alumnos </w:t>
            </w:r>
            <w:r w:rsidR="008F33BD" w:rsidRPr="00AB7595">
              <w:rPr>
                <w:rFonts w:cs="Helvetica"/>
                <w:sz w:val="18"/>
                <w:szCs w:val="18"/>
                <w:lang w:val="es-MX"/>
              </w:rPr>
              <w:t xml:space="preserve">herramientas metodológicas que les auxilien en el empleo </w:t>
            </w:r>
          </w:p>
          <w:p w:rsidR="008F33BD" w:rsidRPr="00AB7595" w:rsidRDefault="008F33BD" w:rsidP="00D17BC2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de materiales primordialmente lingüísticos e históricos que se revelan útiles para el estudio de los</w:t>
            </w:r>
            <w:r w:rsidR="00D17BC2" w:rsidRPr="00AB7595">
              <w:rPr>
                <w:rFonts w:cs="Helvetica"/>
                <w:sz w:val="18"/>
                <w:szCs w:val="18"/>
                <w:lang w:val="es-MX"/>
              </w:rPr>
              <w:t xml:space="preserve"> procesos socioeconómicos y culturales registrados en el área,</w:t>
            </w:r>
          </w:p>
          <w:p w:rsidR="00E74B04" w:rsidRPr="00AB7595" w:rsidRDefault="00D17BC2" w:rsidP="00C672CF">
            <w:pPr>
              <w:jc w:val="both"/>
              <w:rPr>
                <w:rFonts w:cs="Helvetica"/>
                <w:b/>
                <w:color w:val="FF0000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c) Auxiliarlos en la comprensión de las dimensiones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témporo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-espaciales que explican el cambio, permanencia o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refuncionalización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de los elementos culturales</w:t>
            </w:r>
            <w:r w:rsidR="00C672CF"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</w:tc>
      </w:tr>
    </w:tbl>
    <w:p w:rsidR="00E74B04" w:rsidRPr="00AB7595" w:rsidRDefault="00E74B04" w:rsidP="00E74B04">
      <w:pPr>
        <w:rPr>
          <w:rFonts w:cs="Helvetica"/>
          <w:sz w:val="18"/>
          <w:szCs w:val="18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AB7595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Índice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temático</w:t>
            </w:r>
            <w:proofErr w:type="spellEnd"/>
          </w:p>
        </w:tc>
      </w:tr>
      <w:tr w:rsidR="00E74B04" w:rsidRPr="00AB7595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Tema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Horas</w:t>
            </w:r>
          </w:p>
        </w:tc>
      </w:tr>
      <w:tr w:rsidR="00E74B04" w:rsidRPr="00AB7595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Prácticas</w:t>
            </w:r>
            <w:proofErr w:type="spellEnd"/>
          </w:p>
        </w:tc>
      </w:tr>
      <w:tr w:rsidR="00E74B04" w:rsidRPr="005F6070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E74B04" w:rsidRPr="00AB7595" w:rsidRDefault="00FA675A" w:rsidP="00FA675A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Vida cotidiana (etnología, historia y lingüística)</w:t>
            </w:r>
          </w:p>
        </w:tc>
        <w:tc>
          <w:tcPr>
            <w:tcW w:w="1080" w:type="dxa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sz w:val="18"/>
                <w:szCs w:val="18"/>
                <w:lang w:val="es-MX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74B04" w:rsidRPr="00AB7595" w:rsidRDefault="00E74B04" w:rsidP="00E74B04">
            <w:pPr>
              <w:jc w:val="center"/>
              <w:rPr>
                <w:rFonts w:cs="Helvetica"/>
                <w:sz w:val="18"/>
                <w:szCs w:val="18"/>
                <w:lang w:val="es-MX"/>
              </w:rPr>
            </w:pPr>
          </w:p>
        </w:tc>
      </w:tr>
      <w:tr w:rsidR="00E74B04" w:rsidRPr="00AB7595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7595" w:rsidRDefault="00E74B04" w:rsidP="00E74B04">
            <w:pPr>
              <w:jc w:val="right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 xml:space="preserve">Total de </w:t>
            </w:r>
            <w:proofErr w:type="spellStart"/>
            <w:r w:rsidRPr="00AB7595">
              <w:rPr>
                <w:rFonts w:cs="Helvetica"/>
                <w:b/>
                <w:sz w:val="18"/>
                <w:szCs w:val="18"/>
              </w:rPr>
              <w:t>horas</w:t>
            </w:r>
            <w:proofErr w:type="spellEnd"/>
            <w:r w:rsidRPr="00AB7595">
              <w:rPr>
                <w:rFonts w:cs="Helvetica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63" w:rsidRPr="00AB7595" w:rsidRDefault="00434C46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7595" w:rsidRDefault="00E74B04" w:rsidP="006A46D8">
            <w:pPr>
              <w:rPr>
                <w:rFonts w:cs="Helvetica"/>
                <w:b/>
                <w:sz w:val="18"/>
                <w:szCs w:val="18"/>
              </w:rPr>
            </w:pPr>
          </w:p>
        </w:tc>
      </w:tr>
      <w:tr w:rsidR="00E74B04" w:rsidRPr="00AB7595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7595" w:rsidRDefault="00E74B04" w:rsidP="00E74B04">
            <w:pPr>
              <w:jc w:val="right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04" w:rsidRPr="00AB7595" w:rsidRDefault="00593255" w:rsidP="00E74B04">
            <w:pPr>
              <w:jc w:val="center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32</w:t>
            </w:r>
          </w:p>
        </w:tc>
      </w:tr>
    </w:tbl>
    <w:p w:rsidR="00B04BB9" w:rsidRPr="00AB7595" w:rsidRDefault="00B04BB9" w:rsidP="00E74B04">
      <w:pPr>
        <w:rPr>
          <w:rFonts w:cs="Helvetica"/>
          <w:sz w:val="18"/>
          <w:szCs w:val="18"/>
          <w:lang w:val="es-ES" w:eastAsia="es-ES"/>
        </w:rPr>
      </w:pPr>
    </w:p>
    <w:p w:rsidR="00B04BB9" w:rsidRPr="00AB7595" w:rsidRDefault="00B04BB9" w:rsidP="00E74B04">
      <w:pPr>
        <w:rPr>
          <w:rFonts w:cs="Helvetica"/>
          <w:sz w:val="18"/>
          <w:szCs w:val="18"/>
          <w:lang w:val="es-ES" w:eastAsia="es-ES"/>
        </w:rPr>
      </w:pPr>
    </w:p>
    <w:p w:rsidR="00E74B04" w:rsidRPr="00AB7595" w:rsidRDefault="00E74B04" w:rsidP="00E74B04">
      <w:pPr>
        <w:rPr>
          <w:rFonts w:cs="Helvetica"/>
          <w:sz w:val="18"/>
          <w:szCs w:val="18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AB7595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AB7595" w:rsidRDefault="00E74B04" w:rsidP="00E74B04">
            <w:pPr>
              <w:spacing w:after="40"/>
              <w:rPr>
                <w:rFonts w:cs="Helvetica"/>
                <w:b/>
                <w:bCs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bCs/>
                <w:sz w:val="18"/>
                <w:szCs w:val="18"/>
              </w:rPr>
              <w:t>Contenido</w:t>
            </w:r>
            <w:proofErr w:type="spellEnd"/>
            <w:r w:rsidRPr="00AB7595">
              <w:rPr>
                <w:rFonts w:cs="Helvetic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7595">
              <w:rPr>
                <w:rFonts w:cs="Helvetica"/>
                <w:b/>
                <w:bCs/>
                <w:sz w:val="18"/>
                <w:szCs w:val="18"/>
              </w:rPr>
              <w:t>Temático</w:t>
            </w:r>
            <w:proofErr w:type="spellEnd"/>
          </w:p>
        </w:tc>
      </w:tr>
      <w:tr w:rsidR="00E74B04" w:rsidRPr="00AB7595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AB7595" w:rsidRDefault="00E74B04" w:rsidP="00E74B04">
            <w:pPr>
              <w:spacing w:after="40"/>
              <w:jc w:val="center"/>
              <w:rPr>
                <w:rFonts w:cs="Helvetica"/>
                <w:b/>
                <w:bCs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bCs/>
                <w:sz w:val="18"/>
                <w:szCs w:val="18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E74B04" w:rsidRPr="00AB7595" w:rsidRDefault="00E74B04" w:rsidP="00E74B04">
            <w:pPr>
              <w:spacing w:after="40"/>
              <w:jc w:val="center"/>
              <w:rPr>
                <w:rFonts w:cs="Helvetica"/>
                <w:b/>
                <w:bCs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b/>
                <w:bCs/>
                <w:sz w:val="18"/>
                <w:szCs w:val="18"/>
              </w:rPr>
              <w:t>Tema</w:t>
            </w:r>
            <w:proofErr w:type="spellEnd"/>
            <w:r w:rsidRPr="00AB7595">
              <w:rPr>
                <w:rFonts w:cs="Helvetica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AB7595">
              <w:rPr>
                <w:rFonts w:cs="Helvetica"/>
                <w:b/>
                <w:bCs/>
                <w:sz w:val="18"/>
                <w:szCs w:val="18"/>
              </w:rPr>
              <w:t>subtemas</w:t>
            </w:r>
            <w:proofErr w:type="spellEnd"/>
          </w:p>
        </w:tc>
      </w:tr>
      <w:tr w:rsidR="00E74B04" w:rsidRPr="00AB7595" w:rsidTr="00E74B04">
        <w:trPr>
          <w:trHeight w:val="334"/>
          <w:jc w:val="center"/>
        </w:trPr>
        <w:tc>
          <w:tcPr>
            <w:tcW w:w="1049" w:type="dxa"/>
          </w:tcPr>
          <w:p w:rsidR="00E74B04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1</w:t>
            </w: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2</w:t>
            </w: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>3</w:t>
            </w: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627D61" w:rsidRDefault="00AB7595" w:rsidP="00AB7595">
            <w:pPr>
              <w:spacing w:after="40"/>
              <w:rPr>
                <w:rFonts w:cs="Helvetica"/>
                <w:b/>
                <w:sz w:val="18"/>
                <w:szCs w:val="18"/>
              </w:rPr>
            </w:pPr>
            <w:r w:rsidRPr="00AB7595">
              <w:rPr>
                <w:rFonts w:cs="Helvetica"/>
                <w:b/>
                <w:sz w:val="18"/>
                <w:szCs w:val="18"/>
              </w:rPr>
              <w:t xml:space="preserve">        </w:t>
            </w:r>
          </w:p>
          <w:p w:rsidR="00627D61" w:rsidRDefault="00627D61" w:rsidP="00AB7595">
            <w:pPr>
              <w:spacing w:after="40"/>
              <w:rPr>
                <w:rFonts w:cs="Helvetica"/>
                <w:b/>
                <w:sz w:val="18"/>
                <w:szCs w:val="18"/>
              </w:rPr>
            </w:pPr>
          </w:p>
          <w:p w:rsidR="00627D61" w:rsidRDefault="00627D61" w:rsidP="00AB7595">
            <w:pPr>
              <w:spacing w:after="40"/>
              <w:rPr>
                <w:rFonts w:cs="Helvetica"/>
                <w:b/>
                <w:sz w:val="18"/>
                <w:szCs w:val="18"/>
              </w:rPr>
            </w:pPr>
          </w:p>
          <w:p w:rsidR="00627D61" w:rsidRDefault="00627D61" w:rsidP="00AB7595">
            <w:pPr>
              <w:spacing w:after="40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627D61" w:rsidP="00AB7595">
            <w:pPr>
              <w:spacing w:after="40"/>
              <w:rPr>
                <w:rFonts w:cs="Helvetica"/>
                <w:b/>
                <w:sz w:val="18"/>
                <w:szCs w:val="18"/>
              </w:rPr>
            </w:pPr>
            <w:r>
              <w:rPr>
                <w:rFonts w:cs="Helvetica"/>
                <w:b/>
                <w:sz w:val="18"/>
                <w:szCs w:val="18"/>
              </w:rPr>
              <w:t xml:space="preserve">         </w:t>
            </w:r>
            <w:r w:rsidR="00AB7595" w:rsidRPr="00AB7595">
              <w:rPr>
                <w:rFonts w:cs="Helvetica"/>
                <w:b/>
                <w:sz w:val="18"/>
                <w:szCs w:val="18"/>
              </w:rPr>
              <w:t xml:space="preserve"> 4</w:t>
            </w: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  <w:p w:rsidR="00AB7595" w:rsidRPr="00AB7595" w:rsidRDefault="00AB7595" w:rsidP="00E74B04">
            <w:pPr>
              <w:spacing w:after="40"/>
              <w:jc w:val="center"/>
              <w:rPr>
                <w:rFonts w:cs="Helvetica"/>
                <w:b/>
                <w:sz w:val="18"/>
                <w:szCs w:val="18"/>
              </w:rPr>
            </w:pPr>
          </w:p>
        </w:tc>
        <w:tc>
          <w:tcPr>
            <w:tcW w:w="7662" w:type="dxa"/>
          </w:tcPr>
          <w:p w:rsidR="00AB7595" w:rsidRPr="00AB7595" w:rsidRDefault="00AB7595" w:rsidP="00AB7595">
            <w:pPr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lastRenderedPageBreak/>
              <w:t>EL (LOS) CONCEPTO(S) DE PERSONA</w:t>
            </w:r>
          </w:p>
          <w:p w:rsidR="00AB7595" w:rsidRPr="00AB7595" w:rsidRDefault="00AB7595" w:rsidP="00AB7595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El microcosmos humano: límites y proyecciones del cuerpo </w:t>
            </w:r>
          </w:p>
          <w:p w:rsidR="00AB7595" w:rsidRPr="00AB7595" w:rsidRDefault="00AB7595" w:rsidP="00AB7595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Los avatares del parentesco</w:t>
            </w:r>
          </w:p>
          <w:p w:rsidR="00AB7595" w:rsidRPr="00AB7595" w:rsidRDefault="00AB7595" w:rsidP="00AB7595">
            <w:pPr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REPRESENTACIONES DEL MUNDO (NATURALEZA, TIERRA, VIVIENDA, ETC.)</w:t>
            </w:r>
          </w:p>
          <w:p w:rsidR="00AB7595" w:rsidRPr="00AB7595" w:rsidRDefault="00AB7595" w:rsidP="00AB7595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Envolturas y núcleos del Cosmos: percepción y apropiación de los paisajes.</w:t>
            </w:r>
          </w:p>
          <w:p w:rsidR="00AB7595" w:rsidRPr="00AB7595" w:rsidRDefault="00AB7595" w:rsidP="00AB7595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Los ombligos del mundo: pueblos, aldeas y unidades habitacionales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Formas y niveles de la organización social (patrones de asentamiento, factura de viviendas, 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lastRenderedPageBreak/>
              <w:t xml:space="preserve">interacción de los géneros, grupos parentales y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corresidenciales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)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Concepciones sobre el aquí y el Más Allá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ACTIVIDADES AGROPECUARIAS Y ARTESANALES COTIDIANAS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Caza, pesca, recolección, agricultura, elaboración de artesanías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VIDA COTIDIANA Y RITUAL </w:t>
            </w:r>
          </w:p>
          <w:p w:rsidR="00AB7595" w:rsidRPr="00AB7595" w:rsidRDefault="00AB7595" w:rsidP="00AB7595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Especialistas rituales</w:t>
            </w:r>
          </w:p>
          <w:p w:rsidR="00AB7595" w:rsidRPr="00AB7595" w:rsidRDefault="00AB7595" w:rsidP="00AB7595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Rituales de paso</w:t>
            </w:r>
          </w:p>
          <w:p w:rsidR="00AB7595" w:rsidRPr="00AB7595" w:rsidRDefault="00AB7595" w:rsidP="00AB7595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Rituales agrícolas y pecuarios</w:t>
            </w:r>
          </w:p>
          <w:p w:rsidR="00627D61" w:rsidRDefault="00627D61" w:rsidP="00AB7595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>
              <w:rPr>
                <w:rFonts w:cs="Helvetica"/>
                <w:spacing w:val="-3"/>
                <w:sz w:val="18"/>
                <w:szCs w:val="18"/>
                <w:lang w:val="es-MX"/>
              </w:rPr>
              <w:t>Rituales festivos</w:t>
            </w:r>
          </w:p>
          <w:p w:rsidR="00627D61" w:rsidRPr="00AB7595" w:rsidRDefault="00627D61" w:rsidP="00627D61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Rituales de curación</w:t>
            </w:r>
          </w:p>
          <w:p w:rsidR="00627D61" w:rsidRDefault="00627D61" w:rsidP="00AB7595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>
              <w:rPr>
                <w:rFonts w:cs="Helvetica"/>
                <w:spacing w:val="-3"/>
                <w:sz w:val="18"/>
                <w:szCs w:val="18"/>
                <w:lang w:val="es-MX"/>
              </w:rPr>
              <w:t>Muerte y funerales</w:t>
            </w:r>
          </w:p>
          <w:p w:rsidR="00627D61" w:rsidRPr="00AB7595" w:rsidRDefault="00627D61" w:rsidP="00AB7595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TIEMPO, MEMORIA Y ESPACIO </w:t>
            </w:r>
          </w:p>
          <w:p w:rsidR="00E74B04" w:rsidRPr="00AB7595" w:rsidRDefault="00E74B04" w:rsidP="00A43C73">
            <w:pPr>
              <w:jc w:val="both"/>
              <w:rPr>
                <w:rFonts w:cs="Helvetica"/>
                <w:b/>
                <w:color w:val="FF0000"/>
                <w:sz w:val="18"/>
                <w:szCs w:val="18"/>
                <w:lang w:val="es-MX"/>
              </w:rPr>
            </w:pPr>
          </w:p>
        </w:tc>
      </w:tr>
    </w:tbl>
    <w:p w:rsidR="00E74B04" w:rsidRPr="00AB7595" w:rsidRDefault="00E74B04" w:rsidP="00E74B04">
      <w:pPr>
        <w:rPr>
          <w:rFonts w:cs="Helvetica"/>
          <w:sz w:val="18"/>
          <w:szCs w:val="18"/>
          <w:lang w:val="es-MX"/>
        </w:rPr>
      </w:pPr>
    </w:p>
    <w:p w:rsidR="00E74B04" w:rsidRPr="00AB7595" w:rsidRDefault="00E74B04" w:rsidP="00E74B04">
      <w:pPr>
        <w:jc w:val="center"/>
        <w:rPr>
          <w:rFonts w:cs="Helvetica"/>
          <w:sz w:val="18"/>
          <w:szCs w:val="18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AB7595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 xml:space="preserve">Bibliografía básica: </w:t>
            </w:r>
          </w:p>
          <w:p w:rsidR="00035D63" w:rsidRPr="00AB7595" w:rsidRDefault="00035D63" w:rsidP="00035D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285B72" w:rsidRPr="005F6070" w:rsidRDefault="00285B72" w:rsidP="00285B72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5F6070">
              <w:rPr>
                <w:rFonts w:cs="Helvetica"/>
                <w:sz w:val="18"/>
                <w:szCs w:val="18"/>
                <w:lang w:val="es-MX"/>
              </w:rPr>
              <w:t>Arnauld</w:t>
            </w:r>
            <w:proofErr w:type="spellEnd"/>
            <w:r w:rsidRPr="005F6070">
              <w:rPr>
                <w:rFonts w:cs="Helvetica"/>
                <w:sz w:val="18"/>
                <w:szCs w:val="18"/>
                <w:lang w:val="es-MX"/>
              </w:rPr>
              <w:t xml:space="preserve">, Jacques y Alain </w:t>
            </w:r>
            <w:proofErr w:type="spellStart"/>
            <w:r w:rsidRPr="005F6070">
              <w:rPr>
                <w:rFonts w:cs="Helvetica"/>
                <w:sz w:val="18"/>
                <w:szCs w:val="18"/>
                <w:lang w:val="es-MX"/>
              </w:rPr>
              <w:t>Breton</w:t>
            </w:r>
            <w:proofErr w:type="spellEnd"/>
            <w:r w:rsidRPr="005F6070">
              <w:rPr>
                <w:rFonts w:cs="Helvetica"/>
                <w:sz w:val="18"/>
                <w:szCs w:val="18"/>
                <w:lang w:val="es-MX"/>
              </w:rPr>
              <w:t>, eds.</w:t>
            </w:r>
          </w:p>
          <w:p w:rsidR="00285B72" w:rsidRPr="00AB7595" w:rsidRDefault="00285B72" w:rsidP="00285B72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1995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Los mayas. La pasión por los antepasados y el deseo de perdurar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, 2a. ed., México: Grijalbo.</w:t>
            </w: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Bartolomé, Miguel</w:t>
            </w: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1992 "La identidad residencial en Mesoamérica: fronteras étnicas y fronteras comunales",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 América Indígena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Vol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 LII,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Num.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 11-2, ene-jun.</w:t>
            </w: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Becquelin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Monod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Aurore</w:t>
            </w:r>
            <w:proofErr w:type="spellEnd"/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1994  “De la piedra a la plegaria”,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Los mayas. La pasión por los antepasados y el deseo de perdurar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ed. A. Breton y J.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Arnauld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pp. 103-112, México: CNCA-Grijalbo.</w:t>
            </w: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Bonfil Batalla, Guillermo</w:t>
            </w:r>
          </w:p>
          <w:p w:rsidR="00285B72" w:rsidRPr="00AB7595" w:rsidRDefault="00285B72" w:rsidP="00285B72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1995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México profundo.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México: INAH. 2a ed.</w:t>
            </w:r>
          </w:p>
          <w:p w:rsidR="00285B72" w:rsidRPr="00AB7595" w:rsidRDefault="00285B72" w:rsidP="00035D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720"/>
                <w:tab w:val="left" w:pos="1440"/>
                <w:tab w:val="left" w:pos="2160"/>
              </w:tabs>
              <w:ind w:left="709" w:hanging="709"/>
              <w:jc w:val="both"/>
              <w:rPr>
                <w:rFonts w:cs="Helvetica"/>
                <w:sz w:val="18"/>
                <w:szCs w:val="18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</w:rPr>
              <w:t>Farriss</w:t>
            </w:r>
            <w:proofErr w:type="spellEnd"/>
            <w:r w:rsidRPr="00AB7595">
              <w:rPr>
                <w:rFonts w:cs="Helvetica"/>
                <w:sz w:val="18"/>
                <w:szCs w:val="18"/>
              </w:rPr>
              <w:t>, Nancy M.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</w:rPr>
              <w:t xml:space="preserve">1984   </w:t>
            </w:r>
            <w:r w:rsidRPr="00AB7595">
              <w:rPr>
                <w:rFonts w:cs="Helvetica"/>
                <w:i/>
                <w:sz w:val="18"/>
                <w:szCs w:val="18"/>
              </w:rPr>
              <w:t xml:space="preserve">Maya Society under Colonial Rule. The Collective Enterprise of Survival.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Princeton: Princeton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University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Press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  <w:p w:rsidR="00035D63" w:rsidRPr="00AB7595" w:rsidRDefault="00035D63" w:rsidP="00035D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García Bernal, Manuela Cristina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1972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La Sociedad de Yucatán, 1700 - 1750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. Escuela de Estudios Hispano americanos. Sevilla.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1978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Población y Encomienda en Yucatán bajo los Austrias. 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Sevilla, Escuela de Estudios Hispano americanos.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>Hanks, William F.</w:t>
            </w:r>
          </w:p>
          <w:p w:rsidR="00035D63" w:rsidRPr="00AB7595" w:rsidRDefault="00035D63" w:rsidP="00035D63">
            <w:pPr>
              <w:tabs>
                <w:tab w:val="left" w:pos="-72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>2010</w:t>
            </w:r>
            <w:r w:rsidRPr="00AB7595">
              <w:rPr>
                <w:rFonts w:cs="Helvetica"/>
                <w:sz w:val="18"/>
                <w:szCs w:val="18"/>
              </w:rPr>
              <w:tab/>
            </w:r>
            <w:r w:rsidRPr="00AB7595">
              <w:rPr>
                <w:rFonts w:cs="Helvetica"/>
                <w:i/>
                <w:sz w:val="18"/>
                <w:szCs w:val="18"/>
              </w:rPr>
              <w:t>Converting Words. Maya in the Age of the Cross</w:t>
            </w:r>
            <w:r w:rsidRPr="00AB7595">
              <w:rPr>
                <w:rFonts w:cs="Helvetica"/>
                <w:sz w:val="18"/>
                <w:szCs w:val="18"/>
              </w:rPr>
              <w:t>. Berkeley: University of California Press.</w:t>
            </w:r>
          </w:p>
          <w:p w:rsidR="00035D63" w:rsidRPr="00AB7595" w:rsidRDefault="00035D63" w:rsidP="00035D63">
            <w:pPr>
              <w:tabs>
                <w:tab w:val="left" w:pos="-72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</w:rPr>
            </w:pPr>
          </w:p>
          <w:p w:rsidR="00035D63" w:rsidRPr="00AB7595" w:rsidRDefault="00035D63" w:rsidP="00035D63">
            <w:pPr>
              <w:tabs>
                <w:tab w:val="left" w:pos="-72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>Hill, Robert</w:t>
            </w:r>
          </w:p>
          <w:p w:rsidR="00F07FD6" w:rsidRPr="00AB7595" w:rsidRDefault="00F07FD6" w:rsidP="00F07FD6">
            <w:pPr>
              <w:tabs>
                <w:tab w:val="left" w:pos="-720"/>
              </w:tabs>
              <w:ind w:leftChars="-10" w:left="685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</w:rPr>
              <w:t xml:space="preserve">1989 </w:t>
            </w:r>
            <w:r w:rsidRPr="00AB7595">
              <w:rPr>
                <w:rFonts w:cs="Helvetica"/>
                <w:i/>
                <w:sz w:val="18"/>
                <w:szCs w:val="18"/>
              </w:rPr>
              <w:t xml:space="preserve">The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</w:rPr>
              <w:t>Pirir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</w:rPr>
              <w:t xml:space="preserve"> Papers and Other Colonial Period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</w:rPr>
              <w:t>Cakchiquel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</w:rPr>
              <w:t xml:space="preserve"> Maya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</w:rPr>
              <w:t>Testamentos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</w:rPr>
              <w:t xml:space="preserve">.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Nashville: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Vanderbilt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University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  <w:p w:rsidR="00035D63" w:rsidRPr="00AB7595" w:rsidRDefault="00035D63" w:rsidP="00035D63">
            <w:pPr>
              <w:tabs>
                <w:tab w:val="left" w:pos="-720"/>
              </w:tabs>
              <w:suppressAutoHyphens/>
              <w:ind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l</w:t>
            </w: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Gutiérrez Estévez, Manuel</w:t>
            </w: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1992  “Mayas y ‘Mayeros’: los antepasados como otros”,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De Palabra y Obra en el Nuevo Mundo,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 Ed. de M. León Portilla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et al.,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vol.1,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Imágenes interétnicas,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pp. 417-442, Madrid: Siglo XXI de España.</w:t>
            </w:r>
          </w:p>
          <w:p w:rsidR="005177F8" w:rsidRPr="00AB7595" w:rsidRDefault="005177F8" w:rsidP="005177F8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5F6070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5F6070">
              <w:rPr>
                <w:rFonts w:cs="Helvetica"/>
                <w:sz w:val="18"/>
                <w:szCs w:val="18"/>
                <w:lang w:val="es-MX"/>
              </w:rPr>
              <w:t>Landa, Diego de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1994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Relación de las cosas de Yucatán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edición y estudio de Ma. Carmen León. México: CNCA. 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Las Casas, Bartolomé de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1967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Apologética Historia Sumaria,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ed. en 2 vols. de E.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O’Gorman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. México: UNAM, Instituto de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lastRenderedPageBreak/>
              <w:t>Investigaciones Históricas.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720"/>
                <w:tab w:val="left" w:pos="1440"/>
                <w:tab w:val="left" w:pos="216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López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Cogolludo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Diego</w:t>
            </w:r>
          </w:p>
          <w:p w:rsidR="00035D63" w:rsidRPr="00AB7595" w:rsidRDefault="00035D63" w:rsidP="00035D63">
            <w:pPr>
              <w:tabs>
                <w:tab w:val="left" w:pos="720"/>
                <w:tab w:val="left" w:pos="1440"/>
                <w:tab w:val="left" w:pos="216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1971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Los tres siglos de la dominación española en Yucatán, o sea Historia de esta provincia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2 vols. Graz – Austria: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Akademische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Druck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-u.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Verlagsanstalt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720"/>
                <w:tab w:val="left" w:pos="1440"/>
                <w:tab w:val="left" w:pos="216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MacLeod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Murdo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J.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1980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Historia socio-económica de la América Central española, 1520-1720.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Guatemala: Editorial Piedra Santa.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72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Martínez Peláez, Severo</w:t>
            </w:r>
          </w:p>
          <w:p w:rsidR="00035D63" w:rsidRPr="00AB7595" w:rsidRDefault="00035D63" w:rsidP="00035D63">
            <w:pPr>
              <w:tabs>
                <w:tab w:val="left" w:pos="72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1970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La Patria del Criollo. Ensayo de inter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softHyphen/>
              <w:t>pretación de la realidad colonial guatemalteca.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Guatemala: Edi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softHyphen/>
              <w:t>torial Universitaria, USAC (7a. edición, Puebla: Universi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softHyphen/>
              <w:t>dad Autónoma de Puebla, 1982).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Morales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Bermudez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, Jesús</w:t>
            </w: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1984 </w:t>
            </w:r>
            <w:proofErr w:type="spellStart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On</w:t>
            </w:r>
            <w:proofErr w:type="spellEnd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 o </w:t>
            </w:r>
            <w:proofErr w:type="spellStart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T’ian</w:t>
            </w:r>
            <w:proofErr w:type="spellEnd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, antigua palabra. Narrativa indígena chol, 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 México: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Uam-Azcapotzalco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.</w:t>
            </w: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5177F8" w:rsidRPr="00AB7595" w:rsidRDefault="005177F8" w:rsidP="005177F8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Otzoy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Irma</w:t>
            </w:r>
          </w:p>
          <w:p w:rsidR="005177F8" w:rsidRPr="00AB7595" w:rsidRDefault="005177F8" w:rsidP="005177F8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1992   “Identidad y trajes mayas”,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Mesoamérica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23, pp. 95-112, Guatemala: PLUMSOCK y CIRMA.</w:t>
            </w:r>
          </w:p>
          <w:p w:rsidR="005177F8" w:rsidRPr="00AB7595" w:rsidRDefault="005177F8" w:rsidP="005177F8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5177F8" w:rsidRPr="00AB7595" w:rsidRDefault="005177F8" w:rsidP="005177F8">
            <w:pPr>
              <w:ind w:left="706" w:hanging="706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Pitarch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Pedro</w:t>
            </w: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1996  “Un lugar difícil. Estereotipos étnicos y juegos de poder en Los Altos de Chiapas”,  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Chiapas: los rumbos de otra historia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pp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- 237-250, México: UNAM-CIESAS-CEMCA-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UdeG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.</w:t>
            </w: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i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Recopilación de leyes de los </w:t>
            </w:r>
            <w:proofErr w:type="spellStart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reynos</w:t>
            </w:r>
            <w:proofErr w:type="spellEnd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 de las Indias</w:t>
            </w: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1943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ab/>
              <w:t xml:space="preserve">Mandada imprimir y publicar por la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magestad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 católica del rey don Carlos II, 3 vol. MDCCLXXXXI, Madrid: Consejo de la Hispanidad. Impresora de dicho real y supremo consejo.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i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Relaciones geográficas del siglo XVI: Guatemala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1981  Ed. de René Acuña. México: UNAM, Instituto de Investigaciones Antropológicas.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720"/>
                <w:tab w:val="left" w:pos="1440"/>
                <w:tab w:val="left" w:pos="2160"/>
              </w:tabs>
              <w:ind w:left="709" w:hanging="709"/>
              <w:jc w:val="both"/>
              <w:rPr>
                <w:rFonts w:cs="Helvetica"/>
                <w:i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Relaciones histórico-geográficas de la Gobernación de Yucatán</w:t>
            </w:r>
          </w:p>
          <w:p w:rsidR="00035D63" w:rsidRPr="00AB7595" w:rsidRDefault="00035D63" w:rsidP="00035D63">
            <w:pPr>
              <w:tabs>
                <w:tab w:val="left" w:pos="720"/>
                <w:tab w:val="left" w:pos="1440"/>
                <w:tab w:val="left" w:pos="216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1983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Ed. de Mercedes de la Garza,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et al.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México, UNAM, Instituto de Investigaciones Filológicas, Centro de Estudios Mayas (Fuentes para el estudio de la Cultura Maya, 1).</w:t>
            </w: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i/>
                <w:spacing w:val="-3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n-GB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n-GB"/>
              </w:rPr>
              <w:t>Restall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n-GB"/>
              </w:rPr>
              <w:t>, Matthew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gramStart"/>
            <w:r w:rsidRPr="00AB7595">
              <w:rPr>
                <w:rFonts w:cs="Helvetica"/>
                <w:sz w:val="18"/>
                <w:szCs w:val="18"/>
                <w:lang w:val="en-GB"/>
              </w:rPr>
              <w:t>199</w:t>
            </w:r>
            <w:r w:rsidR="00F07FD6" w:rsidRPr="00AB7595">
              <w:rPr>
                <w:rFonts w:cs="Helvetica"/>
                <w:sz w:val="18"/>
                <w:szCs w:val="18"/>
                <w:lang w:val="en-GB"/>
              </w:rPr>
              <w:t>5</w:t>
            </w:r>
            <w:r w:rsidRPr="00AB7595">
              <w:rPr>
                <w:rFonts w:cs="Helvetica"/>
                <w:sz w:val="18"/>
                <w:szCs w:val="18"/>
                <w:lang w:val="en-GB"/>
              </w:rPr>
              <w:t xml:space="preserve">  </w:t>
            </w:r>
            <w:r w:rsidR="00F07FD6" w:rsidRPr="00AB7595">
              <w:rPr>
                <w:rFonts w:cs="Helvetica"/>
                <w:i/>
                <w:sz w:val="18"/>
                <w:szCs w:val="18"/>
                <w:lang w:val="en-GB"/>
              </w:rPr>
              <w:t>Life</w:t>
            </w:r>
            <w:proofErr w:type="gramEnd"/>
            <w:r w:rsidR="00F07FD6" w:rsidRPr="00AB7595">
              <w:rPr>
                <w:rFonts w:cs="Helvetica"/>
                <w:i/>
                <w:sz w:val="18"/>
                <w:szCs w:val="18"/>
                <w:lang w:val="en-GB"/>
              </w:rPr>
              <w:t xml:space="preserve"> and Death in a </w:t>
            </w:r>
            <w:r w:rsidRPr="00AB7595">
              <w:rPr>
                <w:rFonts w:cs="Helvetica"/>
                <w:i/>
                <w:sz w:val="18"/>
                <w:szCs w:val="18"/>
                <w:lang w:val="en-GB"/>
              </w:rPr>
              <w:t xml:space="preserve"> Maya </w:t>
            </w:r>
            <w:proofErr w:type="spellStart"/>
            <w:r w:rsidR="00F07FD6" w:rsidRPr="00AB7595">
              <w:rPr>
                <w:rFonts w:cs="Helvetica"/>
                <w:i/>
                <w:sz w:val="18"/>
                <w:szCs w:val="18"/>
                <w:lang w:val="en-GB"/>
              </w:rPr>
              <w:t>Comumunity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  <w:lang w:val="en-GB"/>
              </w:rPr>
              <w:t>.</w:t>
            </w:r>
            <w:r w:rsidRPr="00AB7595">
              <w:rPr>
                <w:rFonts w:cs="Helvetica"/>
                <w:sz w:val="18"/>
                <w:szCs w:val="18"/>
                <w:lang w:val="en-GB"/>
              </w:rPr>
              <w:t xml:space="preserve"> </w:t>
            </w:r>
            <w:r w:rsidR="00F07FD6" w:rsidRPr="00AB7595">
              <w:rPr>
                <w:rFonts w:cs="Helvetica"/>
                <w:sz w:val="18"/>
                <w:szCs w:val="18"/>
                <w:lang w:val="es-MX"/>
              </w:rPr>
              <w:t>Lancaster, California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: </w:t>
            </w:r>
            <w:proofErr w:type="spellStart"/>
            <w:r w:rsidR="00F07FD6" w:rsidRPr="00AB7595">
              <w:rPr>
                <w:rFonts w:cs="Helvetica"/>
                <w:sz w:val="18"/>
                <w:szCs w:val="18"/>
                <w:lang w:val="es-MX"/>
              </w:rPr>
              <w:t>Labyrinthos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.   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Ruz, Mario Humberto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1997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Gestos cotidianos. Acercamientos etnológicos a los mayas de la época colonial.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Campeche: Instituto de Cultura de Campeche, Universidad Autónoma de Campeche, Universidad Autónoma del Carmen e Instituto Campechano. </w:t>
            </w:r>
          </w:p>
          <w:p w:rsidR="00035D63" w:rsidRPr="00AB7595" w:rsidRDefault="00035D63" w:rsidP="00035D63">
            <w:pPr>
              <w:tabs>
                <w:tab w:val="left" w:pos="720"/>
                <w:tab w:val="left" w:pos="1440"/>
              </w:tabs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Solano, Francisco de</w:t>
            </w: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1974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Los mayas del siglo XVIII. Pervivencia y transformación de la sociedad indígena guatemalteca durante la administración borbónica.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Madrid, Ediciones de Cultura Hispánica.</w:t>
            </w:r>
          </w:p>
          <w:p w:rsidR="00035D63" w:rsidRPr="00AB7595" w:rsidRDefault="00035D63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Trias, Eugenio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1978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La memoria perdida de las cosas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. Madrid: Taurus.</w:t>
            </w:r>
          </w:p>
          <w:p w:rsidR="00AB7595" w:rsidRPr="00AB7595" w:rsidRDefault="00AB7595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5177F8" w:rsidRPr="00AB7595" w:rsidRDefault="005177F8" w:rsidP="005177F8">
            <w:pPr>
              <w:suppressAutoHyphens/>
              <w:ind w:left="706" w:hanging="706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Viqueira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Albán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, Pedro y Mario Humberto Ruz (eds.)</w:t>
            </w:r>
          </w:p>
          <w:p w:rsidR="005177F8" w:rsidRPr="00AB7595" w:rsidRDefault="005177F8" w:rsidP="005177F8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1996   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Chiapas: los rumbos de otra historia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, México: UNAM-CIESAS-CEMCA-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UdeG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.</w:t>
            </w:r>
          </w:p>
          <w:p w:rsidR="005177F8" w:rsidRPr="00AB7595" w:rsidRDefault="005177F8" w:rsidP="00035D63">
            <w:pPr>
              <w:tabs>
                <w:tab w:val="left" w:pos="144"/>
              </w:tabs>
              <w:suppressAutoHyphens/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Zamora Acosta, Elías</w:t>
            </w:r>
          </w:p>
          <w:p w:rsidR="00035D63" w:rsidRPr="00AB7595" w:rsidRDefault="00035D63" w:rsidP="00035D63">
            <w:pPr>
              <w:ind w:left="709" w:hanging="709"/>
              <w:jc w:val="both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1985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Los mayas de las tierras altas en el siglo XVI. Tradición y cambio en Guatemala.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sz w:val="18"/>
                <w:szCs w:val="18"/>
              </w:rPr>
              <w:t>Sevilla</w:t>
            </w:r>
            <w:proofErr w:type="spellEnd"/>
            <w:r w:rsidRPr="00AB7595">
              <w:rPr>
                <w:rFonts w:cs="Helvetica"/>
                <w:sz w:val="18"/>
                <w:szCs w:val="18"/>
              </w:rPr>
              <w:t xml:space="preserve">, </w:t>
            </w:r>
            <w:proofErr w:type="spellStart"/>
            <w:r w:rsidRPr="00AB7595">
              <w:rPr>
                <w:rFonts w:cs="Helvetica"/>
                <w:sz w:val="18"/>
                <w:szCs w:val="18"/>
              </w:rPr>
              <w:t>Diputación</w:t>
            </w:r>
            <w:proofErr w:type="spellEnd"/>
            <w:r w:rsidRPr="00AB7595">
              <w:rPr>
                <w:rFonts w:cs="Helvetica"/>
                <w:sz w:val="18"/>
                <w:szCs w:val="18"/>
              </w:rPr>
              <w:t xml:space="preserve"> Provincial de </w:t>
            </w:r>
            <w:proofErr w:type="spellStart"/>
            <w:r w:rsidRPr="00AB7595">
              <w:rPr>
                <w:rFonts w:cs="Helvetica"/>
                <w:sz w:val="18"/>
                <w:szCs w:val="18"/>
              </w:rPr>
              <w:t>Sevilla</w:t>
            </w:r>
            <w:proofErr w:type="spellEnd"/>
            <w:r w:rsidRPr="00AB7595">
              <w:rPr>
                <w:rFonts w:cs="Helvetica"/>
                <w:sz w:val="18"/>
                <w:szCs w:val="18"/>
              </w:rPr>
              <w:t xml:space="preserve">. </w:t>
            </w:r>
          </w:p>
          <w:p w:rsidR="00E74B04" w:rsidRPr="00AB7595" w:rsidRDefault="00E74B04" w:rsidP="00E74B04">
            <w:pPr>
              <w:pStyle w:val="Listavistosa-nfasis11"/>
              <w:ind w:left="0"/>
              <w:jc w:val="both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E74B04" w:rsidRPr="005F6070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lastRenderedPageBreak/>
              <w:t>Bibliografía complementaria: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Augé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Marc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fr-FR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1998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Las formas del olvido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. </w:t>
            </w:r>
            <w:r w:rsidRPr="00AB7595">
              <w:rPr>
                <w:rFonts w:cs="Helvetica"/>
                <w:sz w:val="18"/>
                <w:szCs w:val="18"/>
                <w:lang w:val="fr-FR"/>
              </w:rPr>
              <w:t xml:space="preserve">Barcelona: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fr-FR"/>
              </w:rPr>
              <w:t>Gedisa</w:t>
            </w:r>
            <w:proofErr w:type="spellEnd"/>
            <w:r w:rsidRPr="00AB7595">
              <w:rPr>
                <w:rFonts w:cs="Helvetica"/>
                <w:sz w:val="18"/>
                <w:szCs w:val="18"/>
                <w:lang w:val="fr-FR"/>
              </w:rPr>
              <w:t>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fr-FR"/>
              </w:rPr>
            </w:pP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lastRenderedPageBreak/>
              <w:t>Dumont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Louis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1976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Introducción a dos teorías de la Antropología Social,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Barcelona: Anagrama.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20" w:hanging="720"/>
              <w:jc w:val="both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>Evans-Pritchard, E. E.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</w:rPr>
            </w:pPr>
            <w:r w:rsidRPr="00AB7595">
              <w:rPr>
                <w:rFonts w:cs="Helvetica"/>
                <w:sz w:val="18"/>
                <w:szCs w:val="18"/>
              </w:rPr>
              <w:t xml:space="preserve">1968  “Descent and Kinship”, en </w:t>
            </w:r>
            <w:r w:rsidRPr="00AB7595">
              <w:rPr>
                <w:rFonts w:cs="Helvetica"/>
                <w:i/>
                <w:sz w:val="18"/>
                <w:szCs w:val="18"/>
              </w:rPr>
              <w:t xml:space="preserve">Kinship and Social Organization , </w:t>
            </w:r>
            <w:r w:rsidRPr="00AB7595">
              <w:rPr>
                <w:rFonts w:cs="Helvetica"/>
                <w:sz w:val="18"/>
                <w:szCs w:val="18"/>
              </w:rPr>
              <w:t xml:space="preserve"> P. </w:t>
            </w:r>
            <w:proofErr w:type="spellStart"/>
            <w:r w:rsidRPr="00AB7595">
              <w:rPr>
                <w:rFonts w:cs="Helvetica"/>
                <w:sz w:val="18"/>
                <w:szCs w:val="18"/>
              </w:rPr>
              <w:t>Bohannan</w:t>
            </w:r>
            <w:proofErr w:type="spellEnd"/>
            <w:r w:rsidRPr="00AB7595">
              <w:rPr>
                <w:rFonts w:cs="Helvetica"/>
                <w:sz w:val="18"/>
                <w:szCs w:val="18"/>
              </w:rPr>
              <w:t xml:space="preserve"> y J. Middleton (eds.), pp. 151-154, New York: The Natural History Press.</w:t>
            </w: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Farriss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Nancy M.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i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1985  “Recordando el futuro, anticipando el pasado. Tiempo histórico y tiempo cósmico entre los mayas de Yucatán”,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La memoria y el olvido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(Segundo Simposio de Historia de las Mentalidades). México: INAH.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Fox,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Robin</w:t>
            </w:r>
            <w:proofErr w:type="spellEnd"/>
          </w:p>
          <w:p w:rsidR="00AB7595" w:rsidRPr="00AB7595" w:rsidRDefault="00AB7595" w:rsidP="00AB759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1979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Sistemas de parentesco y matrimonio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, Madrid: Alianza Editorial,  2ª ed.</w:t>
            </w:r>
          </w:p>
          <w:p w:rsidR="00AB7595" w:rsidRPr="00AB7595" w:rsidRDefault="00AB7595" w:rsidP="00AB7595">
            <w:pPr>
              <w:ind w:left="720" w:hanging="720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García de León, Antonio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1994   “Tiempo mítico, tiempo verbal, tiempo histórico”,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Cuicuilco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1: 59-77.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Geertz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Clifford</w:t>
            </w:r>
            <w:proofErr w:type="spellEnd"/>
          </w:p>
          <w:p w:rsidR="00AB7595" w:rsidRPr="00AB7595" w:rsidRDefault="00AB7595" w:rsidP="00AB7595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1987  "La descripción densa", 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La interpretación de las culturas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. México: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Gedisa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Gorza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Piero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2006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Habitar el tiempo en San Andrés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Larráinzar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. Paisajes indígenas de los altos de Chiapas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México: UNAM, COLMICH. 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La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Cecla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Franco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1993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Mente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locale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. Per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un’antropologia</w:t>
            </w:r>
            <w:proofErr w:type="spellEnd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dell’abitare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. Milano: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Elèuthera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López Austin, Alfredo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i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1985   “La construcción de la memoria”,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La memoria y el olvido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(Segundo Simposio de Historia de las Mentalidades). México: INAH.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Malinowski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Bronislaw</w:t>
            </w:r>
            <w:proofErr w:type="spellEnd"/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1979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Confesiones de ignorancia y fracaso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en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La antropología como ciencia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, Barcelona: Anagrama.</w:t>
            </w: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Mauss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, Marcel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1974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Introducción a la etnografía, 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Madrid: Ediciones Istmo.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Mauss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, Marcel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1979 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Sociología y Antropología, 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Madrid: Taurus.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1C3F35" w:rsidRPr="00AB7595" w:rsidRDefault="001C3F35" w:rsidP="001C3F35">
            <w:pPr>
              <w:ind w:left="720" w:hanging="720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Montes, Segundo</w:t>
            </w:r>
          </w:p>
          <w:p w:rsidR="001C3F35" w:rsidRPr="00AB7595" w:rsidRDefault="001C3F35" w:rsidP="001C3F35">
            <w:pPr>
              <w:ind w:left="720" w:hanging="720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1979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El compadrazgo: una estructura de poder en El Salvador,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San Salvador: UCA Editores (Caps. 1-5).</w:t>
            </w:r>
          </w:p>
          <w:p w:rsidR="001C3F35" w:rsidRPr="00AB7595" w:rsidRDefault="001C3F35" w:rsidP="001C3F35">
            <w:pPr>
              <w:ind w:left="720" w:hanging="720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Niegel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, R.</w:t>
            </w: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1987 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El antropólogo inocente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Buenos Aires: </w:t>
            </w:r>
            <w:proofErr w:type="gramStart"/>
            <w:r w:rsidRPr="00AB7595">
              <w:rPr>
                <w:rFonts w:cs="Helvetica"/>
                <w:sz w:val="18"/>
                <w:szCs w:val="18"/>
                <w:lang w:val="es-MX"/>
              </w:rPr>
              <w:t>Ateneo</w:t>
            </w:r>
            <w:proofErr w:type="gramEnd"/>
            <w:r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Richards, Audrey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1971 "El desarrollo de los métodos del trabajo de campo en antropología social",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Cuadernos de Antropología Social y Etnología, 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Madrid: Universidad Complutense.</w:t>
            </w: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1C3F35" w:rsidRPr="00AB7595" w:rsidRDefault="001C3F35" w:rsidP="001C3F35">
            <w:pPr>
              <w:ind w:left="720" w:hanging="720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Rojas Lima, Flavio</w:t>
            </w:r>
          </w:p>
          <w:p w:rsidR="001C3F35" w:rsidRPr="00AB7595" w:rsidRDefault="001C3F35" w:rsidP="001C3F35">
            <w:pPr>
              <w:ind w:left="720" w:hanging="720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1988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La cofradía: reducto cultural indígena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, Guatemala: SISG.</w:t>
            </w:r>
          </w:p>
          <w:p w:rsidR="001C3F35" w:rsidRPr="00AB7595" w:rsidRDefault="001C3F35" w:rsidP="001C3F3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Ruz, Mario Humberto</w:t>
            </w:r>
          </w:p>
          <w:p w:rsidR="00AB7595" w:rsidRPr="00AB7595" w:rsidRDefault="00AB7595" w:rsidP="00AB7595">
            <w:pPr>
              <w:pStyle w:val="Textoindependiente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2006  “Maya: un pasado de olvidos, un futuro de memorias”,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Memoria e Historia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, pp. 293-336, Guatemala: AVANCSO.</w:t>
            </w:r>
          </w:p>
          <w:p w:rsidR="00AB7595" w:rsidRPr="00AB7595" w:rsidRDefault="00AB7595" w:rsidP="00AB7595">
            <w:pPr>
              <w:ind w:left="708" w:hanging="708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Sullivan, Paul</w:t>
            </w: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1992  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Conversaciones inconclusas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, México: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Gedisa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>.</w:t>
            </w:r>
          </w:p>
          <w:p w:rsidR="00B1428E" w:rsidRPr="00AB7595" w:rsidRDefault="00B1428E" w:rsidP="00B1428E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lastRenderedPageBreak/>
              <w:t>Thomas, Keith</w:t>
            </w:r>
          </w:p>
          <w:p w:rsidR="00B1428E" w:rsidRPr="00AB7595" w:rsidRDefault="00B1428E" w:rsidP="00B1428E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1989   “Historia y antropología”,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 xml:space="preserve">Historia social </w:t>
            </w:r>
            <w:proofErr w:type="spellStart"/>
            <w:r w:rsidRPr="00AB7595">
              <w:rPr>
                <w:rFonts w:cs="Helvetica"/>
                <w:sz w:val="18"/>
                <w:szCs w:val="18"/>
                <w:lang w:val="es-MX"/>
              </w:rPr>
              <w:t>num.</w:t>
            </w:r>
            <w:proofErr w:type="spellEnd"/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3, pp. 62-80, Valencia: Instituto de Historia Social.</w:t>
            </w:r>
          </w:p>
          <w:p w:rsidR="00B1428E" w:rsidRPr="00AB7595" w:rsidRDefault="00B1428E" w:rsidP="00B1428E">
            <w:pPr>
              <w:ind w:left="709" w:hanging="709"/>
              <w:jc w:val="both"/>
              <w:rPr>
                <w:rFonts w:cs="Helvetica"/>
                <w:sz w:val="18"/>
                <w:szCs w:val="18"/>
                <w:lang w:val="es-MX"/>
              </w:rPr>
            </w:pPr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Turner, </w:t>
            </w:r>
            <w:proofErr w:type="spellStart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Victor</w:t>
            </w:r>
            <w:proofErr w:type="spellEnd"/>
          </w:p>
          <w:p w:rsidR="00B1428E" w:rsidRPr="00AB7595" w:rsidRDefault="00B1428E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1980 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 La Selva de los Símbolos</w:t>
            </w:r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 xml:space="preserve"> (</w:t>
            </w:r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 xml:space="preserve">Introducción y símbolos en el ritual </w:t>
            </w:r>
            <w:proofErr w:type="spellStart"/>
            <w:r w:rsidRPr="00AB7595">
              <w:rPr>
                <w:rFonts w:cs="Helvetica"/>
                <w:i/>
                <w:spacing w:val="-3"/>
                <w:sz w:val="18"/>
                <w:szCs w:val="18"/>
                <w:lang w:val="es-MX"/>
              </w:rPr>
              <w:t>ndembu</w:t>
            </w:r>
            <w:proofErr w:type="spellEnd"/>
            <w:r w:rsidRPr="00AB7595">
              <w:rPr>
                <w:rFonts w:cs="Helvetica"/>
                <w:spacing w:val="-3"/>
                <w:sz w:val="18"/>
                <w:szCs w:val="18"/>
                <w:lang w:val="es-MX"/>
              </w:rPr>
              <w:t>), Madrid: Siglo XXI.</w:t>
            </w:r>
          </w:p>
          <w:p w:rsidR="001C3F35" w:rsidRPr="00AB7595" w:rsidRDefault="001C3F35" w:rsidP="00B1428E">
            <w:pPr>
              <w:tabs>
                <w:tab w:val="left" w:pos="-720"/>
              </w:tabs>
              <w:suppressAutoHyphens/>
              <w:ind w:left="709" w:hanging="709"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1C3F35" w:rsidRPr="00AB7595" w:rsidRDefault="001C3F35" w:rsidP="001C3F3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Wolf, Eric</w:t>
            </w:r>
          </w:p>
          <w:p w:rsidR="001C3F35" w:rsidRPr="00AB7595" w:rsidRDefault="001C3F35" w:rsidP="001C3F35">
            <w:pPr>
              <w:jc w:val="both"/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1980  “Relaciones de parentesco, de amistad y de patronazgo en las sociedades complejas”, en </w:t>
            </w:r>
            <w:r w:rsidRPr="00AB7595">
              <w:rPr>
                <w:rFonts w:cs="Helvetica"/>
                <w:i/>
                <w:sz w:val="18"/>
                <w:szCs w:val="18"/>
                <w:lang w:val="es-MX"/>
              </w:rPr>
              <w:t>Antropología social de las sociedades complejas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, E. Wolf y otros, pp. 19-39, Madrid: Alianza Editorial.</w:t>
            </w:r>
          </w:p>
          <w:p w:rsidR="001C3F35" w:rsidRPr="00AB7595" w:rsidRDefault="001C3F35" w:rsidP="00A43C73">
            <w:pPr>
              <w:tabs>
                <w:tab w:val="left" w:pos="-720"/>
              </w:tabs>
              <w:suppressAutoHyphens/>
              <w:jc w:val="both"/>
              <w:rPr>
                <w:rFonts w:cs="Helvetica"/>
                <w:spacing w:val="-3"/>
                <w:sz w:val="18"/>
                <w:szCs w:val="18"/>
                <w:lang w:val="es-MX"/>
              </w:rPr>
            </w:pPr>
          </w:p>
          <w:p w:rsidR="00E74B04" w:rsidRPr="00AB7595" w:rsidRDefault="00E74B04" w:rsidP="00B1428E">
            <w:pPr>
              <w:ind w:left="-57" w:right="-57"/>
              <w:jc w:val="both"/>
              <w:rPr>
                <w:rFonts w:eastAsia="Times New Roman" w:cs="Helvetica"/>
                <w:sz w:val="18"/>
                <w:szCs w:val="18"/>
                <w:lang w:val="es-MX"/>
              </w:rPr>
            </w:pPr>
          </w:p>
        </w:tc>
      </w:tr>
      <w:tr w:rsidR="00E74B04" w:rsidRPr="005F6070" w:rsidTr="00E74B04">
        <w:trPr>
          <w:trHeight w:val="1049"/>
          <w:jc w:val="center"/>
        </w:trPr>
        <w:tc>
          <w:tcPr>
            <w:tcW w:w="4140" w:type="dxa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Exposición oral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Exposición audiovisual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(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Ejercicios dentro de clase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Ejercicios fuera del aula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Seminarios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Lecturas obligatorias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</w:t>
            </w:r>
            <w:r w:rsid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(</w:t>
            </w:r>
            <w:r w:rsid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Trabajo de investigación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Prácticas de taller o laboratorio         (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Prácticas de campo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 (</w:t>
            </w:r>
            <w:r w:rsidR="00AB7595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 )</w:t>
            </w:r>
          </w:p>
          <w:p w:rsidR="00E74B04" w:rsidRPr="00AB7595" w:rsidRDefault="00E74B04" w:rsidP="00AB7595">
            <w:pPr>
              <w:rPr>
                <w:rFonts w:cs="Helvetica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E74B04" w:rsidRPr="00AB7595" w:rsidRDefault="00E74B04" w:rsidP="00E74B04">
            <w:pPr>
              <w:rPr>
                <w:rFonts w:cs="Helvetica"/>
                <w:b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b/>
                <w:sz w:val="18"/>
                <w:szCs w:val="18"/>
                <w:lang w:val="es-MX"/>
              </w:rPr>
              <w:t>Mecanismos de evaluación del aprendizaje de los alumnos: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Exámenes parciales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Examen final escrito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Trabajos y tareas fuera del aula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    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( 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Participación en clase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AB7595">
              <w:rPr>
                <w:rFonts w:cs="Helvetica"/>
                <w:sz w:val="18"/>
                <w:szCs w:val="18"/>
                <w:lang w:val="es-MX"/>
              </w:rPr>
              <w:t xml:space="preserve">                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Asistencia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6A46D8" w:rsidRPr="00AB7595">
              <w:rPr>
                <w:rFonts w:cs="Helvetica"/>
                <w:sz w:val="18"/>
                <w:szCs w:val="18"/>
                <w:lang w:val="es-MX"/>
              </w:rPr>
              <w:t xml:space="preserve"> 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>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Seminario                                                       (  )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>Otras:                                                              (</w:t>
            </w:r>
            <w:r w:rsidR="005177F8" w:rsidRPr="00AB7595">
              <w:rPr>
                <w:rFonts w:cs="Helvetica"/>
                <w:sz w:val="18"/>
                <w:szCs w:val="18"/>
                <w:lang w:val="es-MX"/>
              </w:rPr>
              <w:t>X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)</w:t>
            </w:r>
          </w:p>
          <w:p w:rsidR="005177F8" w:rsidRPr="00AB7595" w:rsidRDefault="005177F8" w:rsidP="00E74B04">
            <w:pPr>
              <w:rPr>
                <w:rFonts w:cs="Helvetica"/>
                <w:sz w:val="18"/>
                <w:szCs w:val="18"/>
                <w:lang w:val="es-MX"/>
              </w:rPr>
            </w:pP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        Trabajo</w:t>
            </w:r>
            <w:r w:rsidR="00AB7595">
              <w:rPr>
                <w:rFonts w:cs="Helvetica"/>
                <w:sz w:val="18"/>
                <w:szCs w:val="18"/>
                <w:lang w:val="es-MX"/>
              </w:rPr>
              <w:t xml:space="preserve"> de investigación</w:t>
            </w:r>
            <w:r w:rsidRPr="00AB7595">
              <w:rPr>
                <w:rFonts w:cs="Helvetica"/>
                <w:sz w:val="18"/>
                <w:szCs w:val="18"/>
                <w:lang w:val="es-MX"/>
              </w:rPr>
              <w:t xml:space="preserve"> final</w:t>
            </w:r>
          </w:p>
          <w:p w:rsidR="00E74B04" w:rsidRPr="00AB7595" w:rsidRDefault="00E74B04" w:rsidP="00E74B04">
            <w:pPr>
              <w:rPr>
                <w:rFonts w:cs="Helvetica"/>
                <w:sz w:val="18"/>
                <w:szCs w:val="18"/>
                <w:lang w:val="es-MX"/>
              </w:rPr>
            </w:pPr>
          </w:p>
        </w:tc>
      </w:tr>
    </w:tbl>
    <w:p w:rsidR="009D0FC1" w:rsidRPr="00AB7595" w:rsidRDefault="009D0FC1" w:rsidP="00A134C6">
      <w:pPr>
        <w:rPr>
          <w:rFonts w:cs="Helvetica"/>
          <w:b/>
          <w:sz w:val="18"/>
          <w:szCs w:val="18"/>
          <w:u w:val="single"/>
          <w:lang w:val="es-MX"/>
        </w:rPr>
      </w:pPr>
    </w:p>
    <w:p w:rsidR="009D0FC1" w:rsidRPr="005F6070" w:rsidRDefault="009D0FC1" w:rsidP="005177F8">
      <w:pPr>
        <w:rPr>
          <w:rFonts w:cs="Helvetica"/>
          <w:sz w:val="18"/>
          <w:szCs w:val="18"/>
          <w:lang w:val="es-MX"/>
        </w:rPr>
      </w:pP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  <w:r w:rsidRPr="00AB7595">
        <w:rPr>
          <w:rFonts w:cs="Helvetica"/>
          <w:sz w:val="18"/>
          <w:szCs w:val="18"/>
          <w:lang w:val="es-MX"/>
        </w:rPr>
        <w:tab/>
      </w:r>
    </w:p>
    <w:p w:rsidR="00E74B04" w:rsidRPr="00AB7595" w:rsidRDefault="00E74B04" w:rsidP="00A134C6">
      <w:pPr>
        <w:rPr>
          <w:rFonts w:cs="Helvetica"/>
          <w:b/>
          <w:sz w:val="18"/>
          <w:szCs w:val="18"/>
          <w:u w:val="single"/>
          <w:lang w:val="es-MX"/>
        </w:rPr>
      </w:pPr>
    </w:p>
    <w:sectPr w:rsidR="00E74B04" w:rsidRPr="00AB7595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E8" w:rsidRDefault="003F57E8" w:rsidP="00E74B04">
      <w:r>
        <w:separator/>
      </w:r>
    </w:p>
  </w:endnote>
  <w:endnote w:type="continuationSeparator" w:id="0">
    <w:p w:rsidR="003F57E8" w:rsidRDefault="003F57E8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1" w:rsidRDefault="001B3A32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0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0F1" w:rsidRDefault="001270F1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F1" w:rsidRDefault="001B3A32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70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4C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270F1" w:rsidRDefault="001270F1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E8" w:rsidRDefault="003F57E8" w:rsidP="00E74B04">
      <w:r>
        <w:separator/>
      </w:r>
    </w:p>
  </w:footnote>
  <w:footnote w:type="continuationSeparator" w:id="0">
    <w:p w:rsidR="003F57E8" w:rsidRDefault="003F57E8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E8183D"/>
    <w:multiLevelType w:val="singleLevel"/>
    <w:tmpl w:val="176272CC"/>
    <w:lvl w:ilvl="0">
      <w:start w:val="199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1372063"/>
    <w:multiLevelType w:val="hybridMultilevel"/>
    <w:tmpl w:val="D8362E58"/>
    <w:lvl w:ilvl="0" w:tplc="8FC2AA5A">
      <w:start w:val="198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B3A2E34"/>
    <w:multiLevelType w:val="hybridMultilevel"/>
    <w:tmpl w:val="465CC5AA"/>
    <w:lvl w:ilvl="0" w:tplc="C8BA41CA">
      <w:start w:val="199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8805029"/>
    <w:multiLevelType w:val="singleLevel"/>
    <w:tmpl w:val="D01A16FA"/>
    <w:lvl w:ilvl="0">
      <w:start w:val="198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8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DE110AF"/>
    <w:multiLevelType w:val="hybridMultilevel"/>
    <w:tmpl w:val="0C627DE4"/>
    <w:lvl w:ilvl="0" w:tplc="4CD63072">
      <w:start w:val="1998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EEB0CAB"/>
    <w:multiLevelType w:val="hybridMultilevel"/>
    <w:tmpl w:val="27D46CBC"/>
    <w:lvl w:ilvl="0" w:tplc="74C2C188">
      <w:start w:val="199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57D112B"/>
    <w:multiLevelType w:val="hybridMultilevel"/>
    <w:tmpl w:val="298E7FFC"/>
    <w:lvl w:ilvl="0" w:tplc="7E20F978">
      <w:start w:val="198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39"/>
  </w:num>
  <w:num w:numId="4">
    <w:abstractNumId w:val="16"/>
  </w:num>
  <w:num w:numId="5">
    <w:abstractNumId w:val="47"/>
  </w:num>
  <w:num w:numId="6">
    <w:abstractNumId w:val="48"/>
  </w:num>
  <w:num w:numId="7">
    <w:abstractNumId w:val="28"/>
  </w:num>
  <w:num w:numId="8">
    <w:abstractNumId w:val="8"/>
  </w:num>
  <w:num w:numId="9">
    <w:abstractNumId w:val="34"/>
  </w:num>
  <w:num w:numId="10">
    <w:abstractNumId w:val="21"/>
  </w:num>
  <w:num w:numId="11">
    <w:abstractNumId w:val="10"/>
  </w:num>
  <w:num w:numId="12">
    <w:abstractNumId w:val="25"/>
  </w:num>
  <w:num w:numId="13">
    <w:abstractNumId w:val="23"/>
  </w:num>
  <w:num w:numId="14">
    <w:abstractNumId w:val="44"/>
  </w:num>
  <w:num w:numId="15">
    <w:abstractNumId w:val="38"/>
  </w:num>
  <w:num w:numId="16">
    <w:abstractNumId w:val="35"/>
  </w:num>
  <w:num w:numId="17">
    <w:abstractNumId w:val="42"/>
  </w:num>
  <w:num w:numId="18">
    <w:abstractNumId w:val="11"/>
  </w:num>
  <w:num w:numId="19">
    <w:abstractNumId w:val="2"/>
  </w:num>
  <w:num w:numId="20">
    <w:abstractNumId w:val="40"/>
  </w:num>
  <w:num w:numId="21">
    <w:abstractNumId w:val="18"/>
  </w:num>
  <w:num w:numId="22">
    <w:abstractNumId w:val="24"/>
  </w:num>
  <w:num w:numId="23">
    <w:abstractNumId w:val="0"/>
  </w:num>
  <w:num w:numId="24">
    <w:abstractNumId w:val="14"/>
  </w:num>
  <w:num w:numId="25">
    <w:abstractNumId w:val="27"/>
  </w:num>
  <w:num w:numId="26">
    <w:abstractNumId w:val="30"/>
  </w:num>
  <w:num w:numId="27">
    <w:abstractNumId w:val="45"/>
  </w:num>
  <w:num w:numId="28">
    <w:abstractNumId w:val="36"/>
  </w:num>
  <w:num w:numId="29">
    <w:abstractNumId w:val="3"/>
  </w:num>
  <w:num w:numId="30">
    <w:abstractNumId w:val="7"/>
  </w:num>
  <w:num w:numId="31">
    <w:abstractNumId w:val="31"/>
  </w:num>
  <w:num w:numId="32">
    <w:abstractNumId w:val="22"/>
  </w:num>
  <w:num w:numId="33">
    <w:abstractNumId w:val="9"/>
  </w:num>
  <w:num w:numId="34">
    <w:abstractNumId w:val="32"/>
  </w:num>
  <w:num w:numId="35">
    <w:abstractNumId w:val="15"/>
  </w:num>
  <w:num w:numId="36">
    <w:abstractNumId w:val="13"/>
  </w:num>
  <w:num w:numId="37">
    <w:abstractNumId w:val="20"/>
  </w:num>
  <w:num w:numId="38">
    <w:abstractNumId w:val="12"/>
  </w:num>
  <w:num w:numId="39">
    <w:abstractNumId w:val="29"/>
  </w:num>
  <w:num w:numId="40">
    <w:abstractNumId w:val="4"/>
  </w:num>
  <w:num w:numId="41">
    <w:abstractNumId w:val="5"/>
  </w:num>
  <w:num w:numId="42">
    <w:abstractNumId w:val="1"/>
  </w:num>
  <w:num w:numId="43">
    <w:abstractNumId w:val="37"/>
  </w:num>
  <w:num w:numId="44">
    <w:abstractNumId w:val="17"/>
  </w:num>
  <w:num w:numId="45">
    <w:abstractNumId w:val="41"/>
  </w:num>
  <w:num w:numId="46">
    <w:abstractNumId w:val="46"/>
  </w:num>
  <w:num w:numId="47">
    <w:abstractNumId w:val="26"/>
  </w:num>
  <w:num w:numId="48">
    <w:abstractNumId w:val="19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35D63"/>
    <w:rsid w:val="0005477B"/>
    <w:rsid w:val="00113C42"/>
    <w:rsid w:val="001270F1"/>
    <w:rsid w:val="001B3A32"/>
    <w:rsid w:val="001C3F35"/>
    <w:rsid w:val="001D65E5"/>
    <w:rsid w:val="00285B72"/>
    <w:rsid w:val="00347E28"/>
    <w:rsid w:val="003F57E8"/>
    <w:rsid w:val="00434C46"/>
    <w:rsid w:val="00477BBF"/>
    <w:rsid w:val="004D42B9"/>
    <w:rsid w:val="005177F8"/>
    <w:rsid w:val="00593255"/>
    <w:rsid w:val="005F51A9"/>
    <w:rsid w:val="005F6070"/>
    <w:rsid w:val="00627D61"/>
    <w:rsid w:val="006A46D8"/>
    <w:rsid w:val="006D7663"/>
    <w:rsid w:val="0073429B"/>
    <w:rsid w:val="007608B2"/>
    <w:rsid w:val="00794756"/>
    <w:rsid w:val="008F33BD"/>
    <w:rsid w:val="009D0FC1"/>
    <w:rsid w:val="00A134C6"/>
    <w:rsid w:val="00A43C73"/>
    <w:rsid w:val="00AB45F0"/>
    <w:rsid w:val="00AB7595"/>
    <w:rsid w:val="00B04BB9"/>
    <w:rsid w:val="00B1428E"/>
    <w:rsid w:val="00B16DA6"/>
    <w:rsid w:val="00BB5CFC"/>
    <w:rsid w:val="00C672CF"/>
    <w:rsid w:val="00CF11AE"/>
    <w:rsid w:val="00D17BC2"/>
    <w:rsid w:val="00DD2CCE"/>
    <w:rsid w:val="00E74B04"/>
    <w:rsid w:val="00EF7DAF"/>
    <w:rsid w:val="00F07FD6"/>
    <w:rsid w:val="00F20ADC"/>
    <w:rsid w:val="00FA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B3A32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759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34"/>
    <w:qFormat/>
    <w:rsid w:val="009D0FC1"/>
    <w:pPr>
      <w:ind w:left="720"/>
      <w:contextualSpacing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AB7595"/>
    <w:rPr>
      <w:rFonts w:ascii="Calibri" w:eastAsia="Times New Roman" w:hAnsi="Calibri" w:cs="Times New Roman"/>
      <w:b/>
      <w:bCs/>
      <w:sz w:val="22"/>
      <w:szCs w:val="22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1658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4</cp:revision>
  <cp:lastPrinted>2011-08-11T18:16:00Z</cp:lastPrinted>
  <dcterms:created xsi:type="dcterms:W3CDTF">2016-12-01T18:11:00Z</dcterms:created>
  <dcterms:modified xsi:type="dcterms:W3CDTF">2016-12-01T20:22:00Z</dcterms:modified>
</cp:coreProperties>
</file>