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E631F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B048B8">
              <w:rPr>
                <w:rFonts w:ascii="Arial" w:hAnsi="Arial"/>
                <w:b/>
                <w:sz w:val="22"/>
                <w:lang w:val="es-ES"/>
              </w:rPr>
              <w:cr/>
            </w:r>
            <w:r w:rsidR="00097A78"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4B04" w:rsidRPr="00B048B8" w:rsidRDefault="00097A78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4B04"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UNIVERSIDAD NACIONAL AUTÓNOMA DE MÉXICO</w:t>
            </w:r>
          </w:p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PROGRAMA DE MAESTRIA Y DOCTORADO EN </w:t>
            </w:r>
          </w:p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ESTUDIOS MESOAMERICANOS</w:t>
            </w:r>
          </w:p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FACULTAD DE FILOSOFÍA Y LETRAS</w:t>
            </w:r>
          </w:p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INSTITUTO DE INVESTIGACIONES FILOLÓGICAS</w:t>
            </w:r>
          </w:p>
          <w:p w:rsidR="00E74B04" w:rsidRPr="00B048B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E631F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631F7" w:rsidRDefault="00E74B04" w:rsidP="006D7663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Denominación: </w:t>
            </w:r>
            <w:r w:rsidR="006078FC" w:rsidRPr="006078F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Seminario Monográfico  – Temas Selectos Monográficos. </w:t>
            </w:r>
          </w:p>
          <w:p w:rsidR="00E74B04" w:rsidRPr="006078FC" w:rsidRDefault="00E631F7" w:rsidP="006D766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631F7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  <w:lang w:val="es-MX"/>
              </w:rPr>
              <w:t>Subtema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: </w:t>
            </w:r>
            <w:r w:rsidR="001E3960" w:rsidRPr="006078FC">
              <w:rPr>
                <w:rFonts w:ascii="Arial" w:hAnsi="Arial" w:cs="Arial"/>
                <w:sz w:val="16"/>
                <w:szCs w:val="16"/>
                <w:lang w:val="es-ES"/>
              </w:rPr>
              <w:t>Mitos y ritos en las fiestas de las veintenas del calendario solar II: estudios monográficos</w:t>
            </w:r>
          </w:p>
          <w:p w:rsidR="00960701" w:rsidRPr="00B048B8" w:rsidRDefault="00960701" w:rsidP="006D7663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74B04" w:rsidRPr="00B048B8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B048B8" w:rsidRDefault="00E74B04" w:rsidP="00E74B0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Clave: </w:t>
            </w:r>
            <w:r w:rsidR="006078FC">
              <w:rPr>
                <w:rFonts w:ascii="Arial" w:hAnsi="Arial" w:cs="Arial"/>
                <w:b/>
                <w:sz w:val="16"/>
                <w:szCs w:val="16"/>
                <w:lang w:val="es-ES"/>
              </w:rPr>
              <w:t>67868</w:t>
            </w:r>
          </w:p>
          <w:p w:rsidR="00E74B04" w:rsidRPr="00B048B8" w:rsidRDefault="00E74B04" w:rsidP="00E74B0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Semestre:</w:t>
            </w:r>
          </w:p>
          <w:p w:rsidR="00E74B04" w:rsidRPr="00B048B8" w:rsidRDefault="001E3960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sz w:val="16"/>
                <w:szCs w:val="16"/>
                <w:lang w:val="es-ES"/>
              </w:rPr>
              <w:t>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B048B8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Campo de conocimiento:</w:t>
            </w:r>
            <w:r w:rsidR="001E3960"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1E3960" w:rsidRPr="008C1206">
              <w:rPr>
                <w:rFonts w:ascii="Arial" w:hAnsi="Arial" w:cs="Arial"/>
                <w:sz w:val="16"/>
                <w:szCs w:val="16"/>
                <w:lang w:val="es-ES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No. de créditos:</w:t>
            </w:r>
            <w:r w:rsidR="00E631F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4</w:t>
            </w: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E74B04" w:rsidRPr="00B048B8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Horas al semestre</w:t>
            </w:r>
          </w:p>
        </w:tc>
      </w:tr>
      <w:tr w:rsidR="00E74B04" w:rsidRPr="00B048B8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B048B8" w:rsidRDefault="00E74B04" w:rsidP="00E74B0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Tipo: </w:t>
            </w:r>
            <w:r w:rsidR="006078FC">
              <w:rPr>
                <w:rFonts w:ascii="Arial" w:hAnsi="Arial" w:cs="Arial"/>
                <w:b/>
                <w:sz w:val="16"/>
                <w:szCs w:val="16"/>
                <w:lang w:val="es-ES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B048B8" w:rsidRDefault="00F26C1E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  <w:p w:rsidR="00D246AD" w:rsidRPr="00B048B8" w:rsidRDefault="00D246AD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B048B8" w:rsidRDefault="00E631F7" w:rsidP="001E396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  <w:p w:rsidR="00D246AD" w:rsidRPr="00B048B8" w:rsidRDefault="00D246AD" w:rsidP="001E396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74B04" w:rsidRPr="00B048B8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B048B8" w:rsidRDefault="00E631F7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B048B8" w:rsidRDefault="00E631F7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E74B04" w:rsidRPr="00B048B8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6078FC" w:rsidRPr="00B048B8" w:rsidRDefault="00E74B04" w:rsidP="006078FC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Modalidad: </w:t>
            </w:r>
            <w:r w:rsidR="006078FC">
              <w:rPr>
                <w:rFonts w:ascii="Arial" w:hAnsi="Arial" w:cs="Arial"/>
                <w:b/>
                <w:sz w:val="16"/>
                <w:szCs w:val="16"/>
                <w:lang w:val="es-ES"/>
              </w:rPr>
              <w:t>Seminario monográfico</w:t>
            </w:r>
          </w:p>
          <w:p w:rsidR="003F0ADC" w:rsidRPr="00B048B8" w:rsidRDefault="003F0ADC" w:rsidP="003F0ADC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Duración del programa: </w:t>
            </w:r>
            <w:r w:rsidRPr="00B048B8">
              <w:rPr>
                <w:rFonts w:ascii="Arial" w:hAnsi="Arial" w:cs="Arial"/>
                <w:sz w:val="16"/>
                <w:szCs w:val="16"/>
                <w:lang w:val="es-ES"/>
              </w:rPr>
              <w:t>Semestral</w:t>
            </w:r>
          </w:p>
        </w:tc>
      </w:tr>
    </w:tbl>
    <w:p w:rsidR="00E74B04" w:rsidRPr="00B048B8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E631F7">
        <w:trPr>
          <w:trHeight w:val="240"/>
          <w:jc w:val="center"/>
        </w:trPr>
        <w:tc>
          <w:tcPr>
            <w:tcW w:w="8882" w:type="dxa"/>
          </w:tcPr>
          <w:p w:rsidR="00E74B04" w:rsidRPr="00B048B8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Seriación:       No ( </w:t>
            </w:r>
            <w:r w:rsidR="00E74B04" w:rsidRPr="00B048B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)         Si ( </w:t>
            </w:r>
            <w:r w:rsidR="001E3960" w:rsidRPr="00B048B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x</w:t>
            </w:r>
            <w:r w:rsidR="00E74B04" w:rsidRPr="00B048B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)         Obligatoria (     )      Indicativa ( </w:t>
            </w:r>
            <w:r w:rsidR="001E3960" w:rsidRPr="00B048B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x</w:t>
            </w:r>
            <w:r w:rsidR="00E74B04" w:rsidRPr="00B048B8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)</w:t>
            </w:r>
          </w:p>
          <w:p w:rsidR="00E74B04" w:rsidRPr="00B048B8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>Actividad académica subsecuente:</w:t>
            </w:r>
          </w:p>
          <w:p w:rsidR="00E74B04" w:rsidRPr="00B048B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E74B04" w:rsidRPr="00B048B8" w:rsidRDefault="00E74B04" w:rsidP="001E396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048B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Actividad académica antecedente: </w:t>
            </w:r>
            <w:r w:rsidR="001E3960" w:rsidRPr="006078FC">
              <w:rPr>
                <w:rFonts w:ascii="Arial" w:hAnsi="Arial" w:cs="Arial"/>
                <w:sz w:val="16"/>
                <w:szCs w:val="16"/>
                <w:lang w:val="es-ES"/>
              </w:rPr>
              <w:t>Mitos y ritos en las fiestas de las veintenas del calendario solar I: la historiografía</w:t>
            </w:r>
          </w:p>
        </w:tc>
      </w:tr>
      <w:tr w:rsidR="00E74B04" w:rsidRPr="00E631F7">
        <w:trPr>
          <w:trHeight w:val="375"/>
          <w:jc w:val="center"/>
        </w:trPr>
        <w:tc>
          <w:tcPr>
            <w:tcW w:w="8882" w:type="dxa"/>
          </w:tcPr>
          <w:p w:rsidR="00E74B04" w:rsidRPr="00B048B8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b/>
                <w:sz w:val="16"/>
                <w:szCs w:val="16"/>
                <w:lang w:val="es-ES"/>
              </w:rPr>
              <w:t xml:space="preserve">Objetivos generales: </w:t>
            </w:r>
          </w:p>
          <w:p w:rsidR="009A3FD0" w:rsidRPr="00B048B8" w:rsidRDefault="009A3FD0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3B38B1" w:rsidRPr="00B048B8" w:rsidRDefault="002A477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El objetivo </w:t>
            </w:r>
            <w:r w:rsidR="004160C3" w:rsidRPr="00B048B8">
              <w:rPr>
                <w:rFonts w:cs="Arial"/>
                <w:sz w:val="16"/>
                <w:szCs w:val="16"/>
                <w:lang w:val="es-ES"/>
              </w:rPr>
              <w:t xml:space="preserve">principal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de</w:t>
            </w:r>
            <w:r w:rsidR="008912EB" w:rsidRPr="00B048B8">
              <w:rPr>
                <w:rFonts w:cs="Arial"/>
                <w:sz w:val="16"/>
                <w:szCs w:val="16"/>
                <w:lang w:val="es-ES"/>
              </w:rPr>
              <w:t xml:space="preserve"> la segunda parte de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l </w:t>
            </w:r>
            <w:r w:rsidR="009B43AF" w:rsidRPr="00B048B8">
              <w:rPr>
                <w:rFonts w:cs="Arial"/>
                <w:sz w:val="16"/>
                <w:szCs w:val="16"/>
                <w:lang w:val="es-ES"/>
              </w:rPr>
              <w:t>seminario</w:t>
            </w:r>
            <w:r w:rsidR="008912EB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es </w:t>
            </w:r>
            <w:r w:rsidR="009B43AF" w:rsidRPr="00B048B8">
              <w:rPr>
                <w:rFonts w:cs="Arial"/>
                <w:sz w:val="16"/>
                <w:szCs w:val="16"/>
                <w:lang w:val="es-ES"/>
              </w:rPr>
              <w:t>proporcionar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a los estudiantes las herramientas para completar y profundizar el estudio de las fiestas </w:t>
            </w:r>
            <w:r w:rsidR="008912EB" w:rsidRPr="00B048B8">
              <w:rPr>
                <w:rFonts w:cs="Arial"/>
                <w:sz w:val="16"/>
                <w:szCs w:val="16"/>
                <w:lang w:val="es-ES"/>
              </w:rPr>
              <w:t xml:space="preserve">nahuas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de las vei</w:t>
            </w:r>
            <w:r w:rsidR="005F6C8D" w:rsidRPr="00B048B8">
              <w:rPr>
                <w:rFonts w:cs="Arial"/>
                <w:sz w:val="16"/>
                <w:szCs w:val="16"/>
                <w:lang w:val="es-ES"/>
              </w:rPr>
              <w:t xml:space="preserve">ntenas del año solar. La primera parte del mismo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se </w:t>
            </w:r>
            <w:r w:rsidR="008912EB" w:rsidRPr="00B048B8">
              <w:rPr>
                <w:rFonts w:cs="Arial"/>
                <w:sz w:val="16"/>
                <w:szCs w:val="16"/>
                <w:lang w:val="es-ES"/>
              </w:rPr>
              <w:t>enfocó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en el funcionamiento del calendario, en la estructura de las fiestas y en </w:t>
            </w:r>
            <w:r w:rsidR="00F07AD4" w:rsidRPr="00B048B8">
              <w:rPr>
                <w:rFonts w:cs="Arial"/>
                <w:sz w:val="16"/>
                <w:szCs w:val="16"/>
                <w:lang w:val="es-ES"/>
              </w:rPr>
              <w:t>la historiografía de</w:t>
            </w:r>
            <w:r w:rsidR="00013BFD" w:rsidRPr="00B048B8">
              <w:rPr>
                <w:rFonts w:cs="Arial"/>
                <w:sz w:val="16"/>
                <w:szCs w:val="16"/>
                <w:lang w:val="es-ES"/>
              </w:rPr>
              <w:t xml:space="preserve"> las fuentes</w:t>
            </w:r>
            <w:r w:rsidR="00F06C62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911762" w:rsidRPr="00B048B8">
              <w:rPr>
                <w:rFonts w:cs="Arial"/>
                <w:sz w:val="16"/>
                <w:szCs w:val="16"/>
                <w:lang w:val="es-ES"/>
              </w:rPr>
              <w:t>documentales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que contienen información para comprender </w:t>
            </w:r>
            <w:r w:rsidR="0069230B" w:rsidRPr="00B048B8">
              <w:rPr>
                <w:rFonts w:cs="Arial"/>
                <w:sz w:val="16"/>
                <w:szCs w:val="16"/>
                <w:lang w:val="es-ES"/>
              </w:rPr>
              <w:t>este ciclo de fiestas religiosas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. E</w:t>
            </w:r>
            <w:r w:rsidR="004F2213" w:rsidRPr="00B048B8">
              <w:rPr>
                <w:rFonts w:cs="Arial"/>
                <w:sz w:val="16"/>
                <w:szCs w:val="16"/>
                <w:lang w:val="es-ES"/>
              </w:rPr>
              <w:t xml:space="preserve">n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est</w:t>
            </w:r>
            <w:r w:rsidR="00A60CF8" w:rsidRPr="00B048B8">
              <w:rPr>
                <w:rFonts w:cs="Arial"/>
                <w:sz w:val="16"/>
                <w:szCs w:val="16"/>
                <w:lang w:val="es-ES"/>
              </w:rPr>
              <w:t>a segunda parte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4F2213" w:rsidRPr="00B048B8">
              <w:rPr>
                <w:rFonts w:cs="Arial"/>
                <w:sz w:val="16"/>
                <w:szCs w:val="16"/>
                <w:lang w:val="es-ES"/>
              </w:rPr>
              <w:t xml:space="preserve">se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pretende ahondar en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el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7636B4" w:rsidRPr="00B048B8">
              <w:rPr>
                <w:rFonts w:cs="Arial"/>
                <w:sz w:val="16"/>
                <w:szCs w:val="16"/>
                <w:lang w:val="es-ES"/>
              </w:rPr>
              <w:t xml:space="preserve">análisis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de las veintenas</w:t>
            </w:r>
            <w:r w:rsidR="00FB44FE" w:rsidRPr="00B048B8">
              <w:rPr>
                <w:rFonts w:cs="Arial"/>
                <w:sz w:val="16"/>
                <w:szCs w:val="16"/>
                <w:lang w:val="es-ES"/>
              </w:rPr>
              <w:t xml:space="preserve"> realizado </w:t>
            </w:r>
            <w:r w:rsidR="00805F2A" w:rsidRPr="00B048B8">
              <w:rPr>
                <w:rFonts w:cs="Arial"/>
                <w:sz w:val="16"/>
                <w:szCs w:val="16"/>
                <w:lang w:val="es-ES"/>
              </w:rPr>
              <w:t>por</w:t>
            </w:r>
            <w:r w:rsidR="00FB44FE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05F2A" w:rsidRPr="00B048B8">
              <w:rPr>
                <w:rFonts w:cs="Arial"/>
                <w:sz w:val="16"/>
                <w:szCs w:val="16"/>
                <w:lang w:val="es-ES"/>
              </w:rPr>
              <w:t>investigadores modernos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, al tiempo que</w:t>
            </w:r>
            <w:r w:rsidR="004F2213" w:rsidRPr="00B048B8">
              <w:rPr>
                <w:rFonts w:cs="Arial"/>
                <w:sz w:val="16"/>
                <w:szCs w:val="16"/>
                <w:lang w:val="es-ES"/>
              </w:rPr>
              <w:t xml:space="preserve"> se </w:t>
            </w:r>
            <w:r w:rsidR="00805F2A" w:rsidRPr="00B048B8">
              <w:rPr>
                <w:rFonts w:cs="Arial"/>
                <w:sz w:val="16"/>
                <w:szCs w:val="16"/>
                <w:lang w:val="es-ES"/>
              </w:rPr>
              <w:t>realizarán estudios</w:t>
            </w:r>
            <w:r w:rsidR="008E1BFC" w:rsidRPr="00B048B8">
              <w:rPr>
                <w:rFonts w:cs="Arial"/>
                <w:sz w:val="16"/>
                <w:szCs w:val="16"/>
                <w:lang w:val="es-ES"/>
              </w:rPr>
              <w:t xml:space="preserve"> monográficos siguiendo dos ejes: 1) los espacios sagrados y</w:t>
            </w:r>
            <w:r w:rsidR="004F2213" w:rsidRPr="00B048B8">
              <w:rPr>
                <w:rFonts w:cs="Arial"/>
                <w:sz w:val="16"/>
                <w:szCs w:val="16"/>
                <w:lang w:val="es-ES"/>
              </w:rPr>
              <w:t xml:space="preserve"> las procesiones</w:t>
            </w:r>
            <w:r w:rsidR="008E1BFC" w:rsidRPr="00B048B8">
              <w:rPr>
                <w:rFonts w:cs="Arial"/>
                <w:sz w:val="16"/>
                <w:szCs w:val="16"/>
                <w:lang w:val="es-ES"/>
              </w:rPr>
              <w:t>; 2) la relación entre mito y</w:t>
            </w:r>
            <w:r w:rsidR="004160C3" w:rsidRPr="00B048B8">
              <w:rPr>
                <w:rFonts w:cs="Arial"/>
                <w:sz w:val="16"/>
                <w:szCs w:val="16"/>
                <w:lang w:val="es-ES"/>
              </w:rPr>
              <w:t xml:space="preserve"> rito</w:t>
            </w:r>
            <w:r w:rsidR="004F2213" w:rsidRPr="00B048B8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74B04" w:rsidRPr="00B048B8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E74B04" w:rsidRPr="00E631F7">
        <w:trPr>
          <w:trHeight w:val="948"/>
          <w:jc w:val="center"/>
        </w:trPr>
        <w:tc>
          <w:tcPr>
            <w:tcW w:w="8882" w:type="dxa"/>
          </w:tcPr>
          <w:p w:rsidR="00E74B04" w:rsidRPr="00B048B8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b/>
                <w:sz w:val="16"/>
                <w:szCs w:val="16"/>
                <w:lang w:val="es-ES"/>
              </w:rPr>
              <w:t>Objetivos específicos: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E74B04" w:rsidRPr="00B048B8" w:rsidRDefault="00E74B04" w:rsidP="00DD2CCE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ES"/>
              </w:rPr>
            </w:pPr>
          </w:p>
          <w:p w:rsidR="0062703F" w:rsidRPr="00B048B8" w:rsidRDefault="009A3FD0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sz w:val="16"/>
                <w:szCs w:val="16"/>
                <w:lang w:val="es-ES"/>
              </w:rPr>
              <w:t>El seminario pretende completar el estudio de las fiestas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 xml:space="preserve"> nahuas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de las veintenas del año solar, otorgando nuevas herramientas teóricas y met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odológicas a los estudiantes. En la primera parte del seminario, el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análisis de las fuentes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históricas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del siglo XVI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fue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básico para el acercamien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to a estos fenómenos religiosos: a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hora los alumnos tienen los instrumentos para reconocer 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cada veintena, así como para rastrear su presencia en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documentos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 de distintos tipos.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 xml:space="preserve">Para 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finalizar la preparación de los estudiantes, 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>esta segunda parte se enfocará en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 las interpretaciones contemporánea</w:t>
            </w:r>
            <w:r w:rsidR="003B38B1" w:rsidRPr="00B048B8">
              <w:rPr>
                <w:rFonts w:cs="Arial"/>
                <w:sz w:val="16"/>
                <w:szCs w:val="16"/>
                <w:lang w:val="es-ES"/>
              </w:rPr>
              <w:t xml:space="preserve">s de algunas de las veintenas, mostrando 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cómo llevar a cabo la investigación de aspectos específicos de </w:t>
            </w:r>
            <w:r w:rsidR="00BB0347" w:rsidRPr="00B048B8">
              <w:rPr>
                <w:rFonts w:cs="Arial"/>
                <w:sz w:val="16"/>
                <w:szCs w:val="16"/>
                <w:lang w:val="es-ES"/>
              </w:rPr>
              <w:t>este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BB0347" w:rsidRPr="00B048B8">
              <w:rPr>
                <w:rFonts w:cs="Arial"/>
                <w:sz w:val="16"/>
                <w:szCs w:val="16"/>
                <w:lang w:val="es-ES"/>
              </w:rPr>
              <w:t>ciclo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 ritual. </w:t>
            </w:r>
          </w:p>
          <w:p w:rsidR="003B38B1" w:rsidRPr="00B048B8" w:rsidRDefault="00F95B95" w:rsidP="00DD2CCE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Los ejes privilegiados en esta segunda parte del seminario son 1) los espacios sagrados y las procesiones en las fiestas más significativas; 2) la relación entre mito y rito en torno a la figura de </w:t>
            </w:r>
            <w:proofErr w:type="spellStart"/>
            <w:r w:rsidRPr="00B048B8">
              <w:rPr>
                <w:rFonts w:cs="Arial"/>
                <w:sz w:val="16"/>
                <w:szCs w:val="16"/>
                <w:lang w:val="es-ES"/>
              </w:rPr>
              <w:t>Quetzalcoatl</w:t>
            </w:r>
            <w:proofErr w:type="spellEnd"/>
            <w:r w:rsidRPr="00B048B8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:rsidR="003B38B1" w:rsidRPr="00B048B8" w:rsidRDefault="003B38B1" w:rsidP="003B38B1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sz w:val="16"/>
                <w:szCs w:val="16"/>
                <w:lang w:val="es-ES"/>
              </w:rPr>
              <w:t>Explorar el primer eje nos llevará a analizar cuatro veintenas del ciclo anua</w:t>
            </w:r>
            <w:r w:rsidR="00F95B95" w:rsidRPr="00B048B8">
              <w:rPr>
                <w:rFonts w:cs="Arial"/>
                <w:sz w:val="16"/>
                <w:szCs w:val="16"/>
                <w:lang w:val="es-ES"/>
              </w:rPr>
              <w:t xml:space="preserve">l: </w:t>
            </w:r>
            <w:proofErr w:type="spellStart"/>
            <w:r w:rsidR="00F95B95" w:rsidRPr="00B048B8">
              <w:rPr>
                <w:rFonts w:cs="Arial"/>
                <w:sz w:val="16"/>
                <w:szCs w:val="16"/>
                <w:lang w:val="es-ES"/>
              </w:rPr>
              <w:t>Tlacaxipehualiztli</w:t>
            </w:r>
            <w:proofErr w:type="spellEnd"/>
            <w:r w:rsidR="00F95B95" w:rsidRPr="00B048B8">
              <w:rPr>
                <w:rFonts w:cs="Arial"/>
                <w:sz w:val="16"/>
                <w:szCs w:val="16"/>
                <w:lang w:val="es-ES"/>
              </w:rPr>
              <w:t xml:space="preserve">, Etzalcualiztli, </w:t>
            </w:r>
            <w:proofErr w:type="spellStart"/>
            <w:r w:rsidR="00F95B95" w:rsidRPr="00B048B8">
              <w:rPr>
                <w:rFonts w:cs="Arial"/>
                <w:sz w:val="16"/>
                <w:szCs w:val="16"/>
                <w:lang w:val="es-ES"/>
              </w:rPr>
              <w:t>Ochpaniztli</w:t>
            </w:r>
            <w:proofErr w:type="spellEnd"/>
            <w:r w:rsidR="00F95B95" w:rsidRPr="00B048B8">
              <w:rPr>
                <w:rFonts w:cs="Arial"/>
                <w:sz w:val="16"/>
                <w:szCs w:val="16"/>
                <w:lang w:val="es-ES"/>
              </w:rPr>
              <w:t xml:space="preserve"> y </w:t>
            </w:r>
            <w:proofErr w:type="spellStart"/>
            <w:r w:rsidR="00F95B95" w:rsidRPr="00B048B8">
              <w:rPr>
                <w:rFonts w:cs="Arial"/>
                <w:sz w:val="16"/>
                <w:szCs w:val="16"/>
                <w:lang w:val="es-ES"/>
              </w:rPr>
              <w:t>Panquetzaliztli</w:t>
            </w:r>
            <w:proofErr w:type="spellEnd"/>
            <w:r w:rsidR="00F95B95" w:rsidRPr="00B048B8">
              <w:rPr>
                <w:rFonts w:cs="Arial"/>
                <w:sz w:val="16"/>
                <w:szCs w:val="16"/>
                <w:lang w:val="es-ES"/>
              </w:rPr>
              <w:t>.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Para cada 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>una de ellas,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se revisarán algunas de las interpretaciones contemporáneas de su significado mítico y estacional</w:t>
            </w:r>
            <w:r w:rsidR="004160C3" w:rsidRPr="00B048B8">
              <w:rPr>
                <w:rFonts w:cs="Arial"/>
                <w:sz w:val="16"/>
                <w:szCs w:val="16"/>
                <w:lang w:val="es-ES"/>
              </w:rPr>
              <w:t xml:space="preserve">. Se compararán las hipótesis 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planteadas </w:t>
            </w:r>
            <w:r w:rsidR="004160C3" w:rsidRPr="00B048B8">
              <w:rPr>
                <w:rFonts w:cs="Arial"/>
                <w:sz w:val="16"/>
                <w:szCs w:val="16"/>
                <w:lang w:val="es-ES"/>
              </w:rPr>
              <w:t xml:space="preserve">respecto de </w:t>
            </w:r>
            <w:r w:rsidR="00763116">
              <w:rPr>
                <w:rFonts w:cs="Arial"/>
                <w:sz w:val="16"/>
                <w:szCs w:val="16"/>
                <w:lang w:val="es-ES"/>
              </w:rPr>
              <w:t>ciertos</w:t>
            </w:r>
            <w:r w:rsidR="004160C3" w:rsidRPr="00B048B8">
              <w:rPr>
                <w:rFonts w:cs="Arial"/>
                <w:sz w:val="16"/>
                <w:szCs w:val="16"/>
                <w:lang w:val="es-ES"/>
              </w:rPr>
              <w:t xml:space="preserve"> fenómenos religiosos pertenecientes a estas veintenas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4160C3" w:rsidRPr="00B048B8">
              <w:rPr>
                <w:rFonts w:cs="Arial"/>
                <w:sz w:val="16"/>
                <w:szCs w:val="16"/>
                <w:lang w:val="es-ES"/>
              </w:rPr>
              <w:t>y se analizarán los espacios sagrados así como los recorridos ceremoniales más significativos, contrastando la información escrita y pictográfica con la arqueológica.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4160C3" w:rsidRPr="00B048B8" w:rsidRDefault="004160C3" w:rsidP="003B38B1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92110D" w:rsidRPr="00B048B8" w:rsidRDefault="004160C3" w:rsidP="0092110D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En cuanto al segundo eje, se retomará el complejo problema de la relación entre mito y rito en el ciclo festivo de las veintenas. El eje director 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será la figura de </w:t>
            </w:r>
            <w:proofErr w:type="spellStart"/>
            <w:r w:rsidR="0092110D" w:rsidRPr="00B048B8">
              <w:rPr>
                <w:rFonts w:cs="Arial"/>
                <w:sz w:val="16"/>
                <w:szCs w:val="16"/>
                <w:lang w:val="es-ES"/>
              </w:rPr>
              <w:t>Quetzalcoatl</w:t>
            </w:r>
            <w:proofErr w:type="spellEnd"/>
            <w:r w:rsidR="0092110D" w:rsidRPr="00B048B8">
              <w:rPr>
                <w:rFonts w:cs="Arial"/>
                <w:sz w:val="16"/>
                <w:szCs w:val="16"/>
                <w:lang w:val="es-ES"/>
              </w:rPr>
              <w:t>, quien era un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>actor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763116">
              <w:rPr>
                <w:rFonts w:cs="Arial"/>
                <w:sz w:val="16"/>
                <w:szCs w:val="16"/>
                <w:lang w:val="es-ES"/>
              </w:rPr>
              <w:t>principal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 de la mitología náhuatl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 y al mismo tiempo pareciera ser el gran ausente de las celebraciones de las veintenas. Después de revisar los argumentos que justifican la búsqueda de relacione</w:t>
            </w:r>
            <w:r w:rsidR="00763116">
              <w:rPr>
                <w:rFonts w:cs="Arial"/>
                <w:sz w:val="16"/>
                <w:szCs w:val="16"/>
                <w:lang w:val="es-ES"/>
              </w:rPr>
              <w:t>s entre mitos y ritos, examinare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mos las 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hipótesis 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formuladas para explicar el protagonismo tenue de </w:t>
            </w:r>
            <w:proofErr w:type="spellStart"/>
            <w:r w:rsidR="0092110D" w:rsidRPr="00B048B8">
              <w:rPr>
                <w:rFonts w:cs="Arial"/>
                <w:sz w:val="16"/>
                <w:szCs w:val="16"/>
                <w:lang w:val="es-ES"/>
              </w:rPr>
              <w:t>Quetzalcoatl</w:t>
            </w:r>
            <w:proofErr w:type="spellEnd"/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 en las fiestas. Finalmente, analizaremos un conjunto de </w:t>
            </w:r>
            <w:r w:rsidR="00763116">
              <w:rPr>
                <w:rFonts w:cs="Arial"/>
                <w:sz w:val="16"/>
                <w:szCs w:val="16"/>
                <w:lang w:val="es-ES"/>
              </w:rPr>
              <w:t>ritos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 que, según las interpretaciones modernas, posiblemente reactualizaban tres tipos de episodios míticos —el descubrimiento del maíz, la creación de las flo</w:t>
            </w:r>
            <w:r w:rsidR="00D246AD" w:rsidRPr="00B048B8">
              <w:rPr>
                <w:rFonts w:cs="Arial"/>
                <w:sz w:val="16"/>
                <w:szCs w:val="16"/>
                <w:lang w:val="es-ES"/>
              </w:rPr>
              <w:t>res y la alternancia entre los S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oles— y </w:t>
            </w:r>
            <w:r w:rsidR="00763116">
              <w:rPr>
                <w:rFonts w:cs="Arial"/>
                <w:sz w:val="16"/>
                <w:szCs w:val="16"/>
                <w:lang w:val="es-ES"/>
              </w:rPr>
              <w:t>en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763116">
              <w:rPr>
                <w:rFonts w:cs="Arial"/>
                <w:sz w:val="16"/>
                <w:szCs w:val="16"/>
                <w:lang w:val="es-ES"/>
              </w:rPr>
              <w:t xml:space="preserve">los cuales </w:t>
            </w:r>
            <w:proofErr w:type="spellStart"/>
            <w:r w:rsidR="00763116">
              <w:rPr>
                <w:rFonts w:cs="Arial"/>
                <w:sz w:val="16"/>
                <w:szCs w:val="16"/>
                <w:lang w:val="es-ES"/>
              </w:rPr>
              <w:t>Quetzalcoatl</w:t>
            </w:r>
            <w:proofErr w:type="spellEnd"/>
            <w:r w:rsidR="00763116">
              <w:rPr>
                <w:rFonts w:cs="Arial"/>
                <w:sz w:val="16"/>
                <w:szCs w:val="16"/>
                <w:lang w:val="es-ES"/>
              </w:rPr>
              <w:t xml:space="preserve"> participaba</w:t>
            </w:r>
            <w:r w:rsidR="0092110D" w:rsidRPr="00B048B8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:rsidR="0092110D" w:rsidRPr="00B048B8" w:rsidRDefault="0092110D" w:rsidP="0092110D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534278" w:rsidRPr="00B048B8" w:rsidRDefault="004160C3" w:rsidP="004160C3">
            <w:pPr>
              <w:pStyle w:val="Textoindependiente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B048B8">
              <w:rPr>
                <w:rFonts w:cs="Arial"/>
                <w:sz w:val="16"/>
                <w:szCs w:val="16"/>
                <w:lang w:val="es-ES"/>
              </w:rPr>
              <w:t>El método utilizado durante la clase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buscará</w:t>
            </w:r>
            <w:r w:rsidR="0026676A" w:rsidRPr="00B048B8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estimular las capacidades críticas de los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participantes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>, con base en sus conocimie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ntos actuales de las veintenas. </w:t>
            </w:r>
            <w:r w:rsidR="0026676A" w:rsidRPr="00B048B8">
              <w:rPr>
                <w:rFonts w:cs="Arial"/>
                <w:sz w:val="16"/>
                <w:szCs w:val="16"/>
                <w:lang w:val="es-ES"/>
              </w:rPr>
              <w:t xml:space="preserve">Para incentivar el intercambio, los estudiantes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 xml:space="preserve">inscritos </w:t>
            </w:r>
            <w:r w:rsidR="0026676A" w:rsidRPr="00B048B8">
              <w:rPr>
                <w:rFonts w:cs="Arial"/>
                <w:sz w:val="16"/>
                <w:szCs w:val="16"/>
                <w:lang w:val="es-ES"/>
              </w:rPr>
              <w:t xml:space="preserve">tendrán que realizar una presentación oral </w:t>
            </w:r>
            <w:r w:rsidRPr="00B048B8">
              <w:rPr>
                <w:rFonts w:cs="Arial"/>
                <w:sz w:val="16"/>
                <w:szCs w:val="16"/>
                <w:lang w:val="es-ES"/>
              </w:rPr>
              <w:t>en relación con los temas y los textos</w:t>
            </w:r>
            <w:r w:rsidR="0026676A" w:rsidRPr="00B048B8">
              <w:rPr>
                <w:rFonts w:cs="Arial"/>
                <w:sz w:val="16"/>
                <w:szCs w:val="16"/>
                <w:lang w:val="es-ES"/>
              </w:rPr>
              <w:t xml:space="preserve"> estudiados, privilegiando un enfoque crítico hacia las distintas teorías propuestas por los investigadores contemporáneos. </w:t>
            </w:r>
            <w:r w:rsidR="0062703F" w:rsidRPr="00B048B8"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</w:tc>
      </w:tr>
    </w:tbl>
    <w:p w:rsidR="00E74B04" w:rsidRPr="00B048B8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B048B8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Índice temático</w:t>
            </w:r>
          </w:p>
        </w:tc>
      </w:tr>
      <w:tr w:rsidR="00E74B04" w:rsidRPr="00B048B8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Horas</w:t>
            </w:r>
          </w:p>
        </w:tc>
      </w:tr>
      <w:tr w:rsidR="00E74B04" w:rsidRPr="00B048B8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Prácticas</w:t>
            </w:r>
          </w:p>
        </w:tc>
      </w:tr>
      <w:tr w:rsidR="00E74B04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B048B8" w:rsidRDefault="0026676A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I</w:t>
            </w:r>
          </w:p>
        </w:tc>
        <w:tc>
          <w:tcPr>
            <w:tcW w:w="5580" w:type="dxa"/>
          </w:tcPr>
          <w:p w:rsidR="00E74B04" w:rsidRPr="00B048B8" w:rsidRDefault="00B96137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PRIMERA PARTE: </w:t>
            </w:r>
            <w:r w:rsidR="0026676A" w:rsidRPr="00B048B8">
              <w:rPr>
                <w:rFonts w:ascii="Arial Narrow" w:hAnsi="Arial Narrow"/>
                <w:sz w:val="20"/>
                <w:lang w:val="es-ES"/>
              </w:rPr>
              <w:t>ESPACIOS SAGRADOS Y RECORRIDOS CEREMONIALES EN LAS FIESTAS DE LAS VEINTENAS</w:t>
            </w:r>
          </w:p>
          <w:p w:rsidR="00534278" w:rsidRPr="00B048B8" w:rsidRDefault="00534278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  <w:p w:rsidR="0026676A" w:rsidRPr="00B048B8" w:rsidRDefault="0026676A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Introducción</w:t>
            </w:r>
          </w:p>
          <w:p w:rsidR="0026676A" w:rsidRPr="00B048B8" w:rsidRDefault="0026676A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La veintena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Tlacaxipehualiztli</w:t>
            </w:r>
            <w:proofErr w:type="spellEnd"/>
          </w:p>
          <w:p w:rsidR="00065A56" w:rsidRPr="00B048B8" w:rsidRDefault="00065A56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E74B04" w:rsidRPr="00B048B8" w:rsidRDefault="0026676A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B048B8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  <w:tr w:rsidR="0026676A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26676A" w:rsidRPr="00B048B8" w:rsidRDefault="0026676A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II</w:t>
            </w:r>
          </w:p>
        </w:tc>
        <w:tc>
          <w:tcPr>
            <w:tcW w:w="5580" w:type="dxa"/>
          </w:tcPr>
          <w:p w:rsidR="0026676A" w:rsidRPr="00B048B8" w:rsidRDefault="0026676A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veintena de Etzalcualiztli</w:t>
            </w:r>
          </w:p>
          <w:p w:rsidR="00065A56" w:rsidRPr="00B048B8" w:rsidRDefault="00065A56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26676A" w:rsidRPr="00B048B8" w:rsidRDefault="00B9613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26676A" w:rsidRPr="00B048B8" w:rsidRDefault="00B9613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1</w:t>
            </w:r>
          </w:p>
        </w:tc>
      </w:tr>
      <w:tr w:rsidR="0026676A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26676A" w:rsidRPr="00B048B8" w:rsidRDefault="0026676A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III</w:t>
            </w:r>
          </w:p>
        </w:tc>
        <w:tc>
          <w:tcPr>
            <w:tcW w:w="5580" w:type="dxa"/>
          </w:tcPr>
          <w:p w:rsidR="0026676A" w:rsidRPr="00B048B8" w:rsidRDefault="0026676A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La veintena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Ochpaniztli</w:t>
            </w:r>
            <w:proofErr w:type="spellEnd"/>
          </w:p>
          <w:p w:rsidR="00065A56" w:rsidRPr="00B048B8" w:rsidRDefault="00065A56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26676A" w:rsidRPr="00B048B8" w:rsidRDefault="00B9613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26676A" w:rsidRPr="00B048B8" w:rsidRDefault="00B96137" w:rsidP="00B96137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1</w:t>
            </w:r>
          </w:p>
        </w:tc>
      </w:tr>
      <w:tr w:rsidR="0026676A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26676A" w:rsidRPr="00B048B8" w:rsidRDefault="0026676A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IV</w:t>
            </w:r>
          </w:p>
        </w:tc>
        <w:tc>
          <w:tcPr>
            <w:tcW w:w="5580" w:type="dxa"/>
          </w:tcPr>
          <w:p w:rsidR="0026676A" w:rsidRPr="00B048B8" w:rsidRDefault="0026676A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La veintena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Panquetzaliztli</w:t>
            </w:r>
            <w:proofErr w:type="spellEnd"/>
          </w:p>
          <w:p w:rsidR="00065A56" w:rsidRPr="00B048B8" w:rsidRDefault="00065A56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26676A" w:rsidRPr="00B048B8" w:rsidRDefault="00B9613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26676A" w:rsidRPr="00B048B8" w:rsidRDefault="00B96137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180460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180460" w:rsidRPr="0090540C" w:rsidRDefault="00180460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V</w:t>
            </w:r>
          </w:p>
        </w:tc>
        <w:tc>
          <w:tcPr>
            <w:tcW w:w="5580" w:type="dxa"/>
          </w:tcPr>
          <w:p w:rsidR="00180460" w:rsidRPr="00B048B8" w:rsidRDefault="00D246AD" w:rsidP="00E74B04">
            <w:pPr>
              <w:jc w:val="both"/>
              <w:rPr>
                <w:rFonts w:ascii="Arial Narrow" w:hAnsi="Arial Narrow" w:cs="Arial"/>
                <w:caps/>
                <w:sz w:val="20"/>
                <w:lang w:val="es-ES"/>
              </w:rPr>
            </w:pPr>
            <w:r w:rsidRPr="00B048B8">
              <w:rPr>
                <w:rFonts w:ascii="Arial Narrow" w:hAnsi="Arial Narrow"/>
                <w:caps/>
                <w:sz w:val="20"/>
                <w:lang w:val="es-ES"/>
              </w:rPr>
              <w:t xml:space="preserve">SEGUNDA PARTE: </w:t>
            </w:r>
            <w:r w:rsidRPr="00B048B8">
              <w:rPr>
                <w:rFonts w:ascii="Arial Narrow" w:hAnsi="Arial Narrow" w:cs="Arial"/>
                <w:caps/>
                <w:sz w:val="20"/>
                <w:lang w:val="es-ES"/>
              </w:rPr>
              <w:t>La relación entre mito y rito en torno a la figura de Quetzalcoatl</w:t>
            </w:r>
          </w:p>
          <w:p w:rsidR="00534278" w:rsidRPr="00B048B8" w:rsidRDefault="00534278" w:rsidP="00E74B04">
            <w:pPr>
              <w:jc w:val="both"/>
              <w:rPr>
                <w:rFonts w:ascii="Arial Narrow" w:hAnsi="Arial Narrow" w:cs="Arial"/>
                <w:caps/>
                <w:sz w:val="20"/>
                <w:lang w:val="es-ES"/>
              </w:rPr>
            </w:pPr>
          </w:p>
          <w:p w:rsidR="00D246AD" w:rsidRPr="00B048B8" w:rsidRDefault="00654B78" w:rsidP="00D246AD">
            <w:pPr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Introducción</w:t>
            </w:r>
          </w:p>
          <w:p w:rsidR="00D246AD" w:rsidRPr="00B048B8" w:rsidRDefault="00D246AD" w:rsidP="002E20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El descubrimiento del Maíz: de Etzalcualiztli a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Ochpaniztli</w:t>
            </w:r>
            <w:proofErr w:type="spellEnd"/>
          </w:p>
          <w:p w:rsidR="00065A56" w:rsidRPr="00B048B8" w:rsidRDefault="00065A56" w:rsidP="002E20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1</w:t>
            </w:r>
          </w:p>
        </w:tc>
      </w:tr>
      <w:tr w:rsidR="00180460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180460" w:rsidRPr="0090540C" w:rsidRDefault="00180460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VI</w:t>
            </w:r>
          </w:p>
        </w:tc>
        <w:tc>
          <w:tcPr>
            <w:tcW w:w="5580" w:type="dxa"/>
          </w:tcPr>
          <w:p w:rsidR="00D246AD" w:rsidRPr="00B048B8" w:rsidRDefault="002E2054" w:rsidP="002E20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creación</w:t>
            </w:r>
            <w:r w:rsidR="00D246AD" w:rsidRPr="00B048B8">
              <w:rPr>
                <w:rFonts w:ascii="Arial Narrow" w:hAnsi="Arial Narrow"/>
                <w:sz w:val="20"/>
                <w:lang w:val="es-ES"/>
              </w:rPr>
              <w:t xml:space="preserve"> de las flores y las fiestas de las veintenas</w:t>
            </w:r>
          </w:p>
          <w:p w:rsidR="00065A56" w:rsidRPr="00B048B8" w:rsidRDefault="00065A56" w:rsidP="002E205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1</w:t>
            </w:r>
          </w:p>
        </w:tc>
      </w:tr>
      <w:tr w:rsidR="00180460" w:rsidRPr="00B048B8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180460" w:rsidRPr="0090540C" w:rsidRDefault="00180460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VII</w:t>
            </w:r>
          </w:p>
        </w:tc>
        <w:tc>
          <w:tcPr>
            <w:tcW w:w="5580" w:type="dxa"/>
          </w:tcPr>
          <w:p w:rsidR="00D246AD" w:rsidRPr="00B048B8" w:rsidRDefault="002E2054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alternancia de</w:t>
            </w:r>
            <w:r w:rsidR="00D246AD" w:rsidRPr="00B048B8">
              <w:rPr>
                <w:rFonts w:ascii="Arial Narrow" w:hAnsi="Arial Narrow"/>
                <w:sz w:val="20"/>
                <w:lang w:val="es-ES"/>
              </w:rPr>
              <w:t xml:space="preserve"> los Soles y las fiestas de las veintenas I</w:t>
            </w:r>
          </w:p>
          <w:p w:rsidR="00180460" w:rsidRPr="00B048B8" w:rsidRDefault="00D246AD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Presentación de trabajos de estudiantes </w:t>
            </w:r>
          </w:p>
          <w:p w:rsidR="00065A56" w:rsidRPr="00B048B8" w:rsidRDefault="00065A56" w:rsidP="00E74B04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180460" w:rsidRPr="00B048B8" w:rsidTr="001C031F">
        <w:trPr>
          <w:trHeight w:val="486"/>
          <w:jc w:val="center"/>
        </w:trPr>
        <w:tc>
          <w:tcPr>
            <w:tcW w:w="900" w:type="dxa"/>
            <w:vAlign w:val="center"/>
          </w:tcPr>
          <w:p w:rsidR="00180460" w:rsidRPr="0090540C" w:rsidRDefault="00180460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VIII</w:t>
            </w:r>
          </w:p>
        </w:tc>
        <w:tc>
          <w:tcPr>
            <w:tcW w:w="5580" w:type="dxa"/>
          </w:tcPr>
          <w:p w:rsidR="00D246AD" w:rsidRPr="00B048B8" w:rsidRDefault="002E2054" w:rsidP="00D246AD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La alternancia de los Soles </w:t>
            </w:r>
            <w:r w:rsidR="00D246AD" w:rsidRPr="00B048B8">
              <w:rPr>
                <w:rFonts w:ascii="Arial Narrow" w:hAnsi="Arial Narrow"/>
                <w:sz w:val="20"/>
                <w:lang w:val="es-ES"/>
              </w:rPr>
              <w:t>y las fiestas de las veintenas II</w:t>
            </w:r>
          </w:p>
          <w:p w:rsidR="00180460" w:rsidRPr="00B048B8" w:rsidRDefault="00D246AD" w:rsidP="00D246AD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Presentación de trabajos de estudiantes</w:t>
            </w:r>
          </w:p>
          <w:p w:rsidR="00065A56" w:rsidRPr="00B048B8" w:rsidRDefault="00065A56" w:rsidP="00D246AD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80460" w:rsidRPr="00B048B8" w:rsidRDefault="00D246AD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</w:tr>
      <w:tr w:rsidR="00E74B04" w:rsidRPr="00B048B8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B048B8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B048B8" w:rsidRDefault="00534278" w:rsidP="00E74B04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  <w:r w:rsidR="001C031F" w:rsidRPr="00B048B8">
              <w:rPr>
                <w:rFonts w:ascii="Arial Narrow" w:hAnsi="Arial Narrow" w:cs="Arial"/>
                <w:sz w:val="20"/>
                <w:lang w:val="es-E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B048B8" w:rsidRDefault="00534278" w:rsidP="00B96137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10</w:t>
            </w:r>
          </w:p>
        </w:tc>
      </w:tr>
      <w:tr w:rsidR="00E74B04" w:rsidRPr="00B048B8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B048B8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B048B8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20"/>
                <w:lang w:val="es-ES"/>
              </w:rPr>
              <w:t>32</w:t>
            </w:r>
          </w:p>
        </w:tc>
      </w:tr>
    </w:tbl>
    <w:p w:rsidR="00B04BB9" w:rsidRPr="00B048B8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B048B8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B048B8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B048B8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B048B8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bCs/>
                <w:sz w:val="20"/>
                <w:lang w:val="es-ES"/>
              </w:rPr>
              <w:t>Contenido Temático</w:t>
            </w:r>
          </w:p>
        </w:tc>
      </w:tr>
      <w:tr w:rsidR="00E74B04" w:rsidRPr="00B048B8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90540C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bCs/>
                <w:color w:val="000000"/>
                <w:sz w:val="20"/>
                <w:lang w:val="es-ES"/>
              </w:rPr>
              <w:t>Unidad</w:t>
            </w:r>
          </w:p>
        </w:tc>
        <w:tc>
          <w:tcPr>
            <w:tcW w:w="7662" w:type="dxa"/>
          </w:tcPr>
          <w:p w:rsidR="00E74B04" w:rsidRPr="00B048B8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b/>
                <w:bCs/>
                <w:sz w:val="20"/>
                <w:lang w:val="es-ES"/>
              </w:rPr>
              <w:t>Tema y subtemas</w:t>
            </w:r>
          </w:p>
        </w:tc>
      </w:tr>
      <w:tr w:rsidR="00E74B04" w:rsidRPr="00E631F7" w:rsidTr="00E74B04">
        <w:trPr>
          <w:trHeight w:val="334"/>
          <w:jc w:val="center"/>
        </w:trPr>
        <w:tc>
          <w:tcPr>
            <w:tcW w:w="1049" w:type="dxa"/>
          </w:tcPr>
          <w:p w:rsidR="00E74B04" w:rsidRPr="0090540C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7662" w:type="dxa"/>
          </w:tcPr>
          <w:p w:rsidR="00065A56" w:rsidRPr="00B048B8" w:rsidRDefault="00B96137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PRIMERA PARTE: Espacios sagrados y recorridos ceremoniales en las fiestas de las veintenas</w:t>
            </w:r>
          </w:p>
          <w:p w:rsidR="00065A56" w:rsidRPr="00B048B8" w:rsidRDefault="00B96137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Introducción</w:t>
            </w:r>
          </w:p>
          <w:p w:rsidR="00065A56" w:rsidRPr="00B048B8" w:rsidRDefault="00B96137" w:rsidP="00E74B04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-Presentación del curso: objetivos, fuentes, metodología, evaluación</w:t>
            </w:r>
          </w:p>
          <w:p w:rsidR="00B96137" w:rsidRPr="00B048B8" w:rsidRDefault="00B96137" w:rsidP="00E74B04">
            <w:pPr>
              <w:spacing w:after="4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 xml:space="preserve">La veintena de </w:t>
            </w:r>
            <w:proofErr w:type="spellStart"/>
            <w:r w:rsidRPr="00B048B8">
              <w:rPr>
                <w:rFonts w:ascii="Arial Narrow" w:hAnsi="Arial Narrow" w:cs="Arial"/>
                <w:sz w:val="20"/>
                <w:lang w:val="es-ES"/>
              </w:rPr>
              <w:t>Tlacaxipehualiztli</w:t>
            </w:r>
            <w:proofErr w:type="spellEnd"/>
            <w:r w:rsidRPr="00B048B8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  <w:p w:rsidR="00B96137" w:rsidRPr="00B048B8" w:rsidRDefault="00B96137" w:rsidP="00E74B04">
            <w:pPr>
              <w:spacing w:after="4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-Análisis de los ritos principales a través de las interpretaciones contemporáneas</w:t>
            </w:r>
          </w:p>
          <w:p w:rsidR="00B96137" w:rsidRPr="00B048B8" w:rsidRDefault="00B96137" w:rsidP="00E74B04">
            <w:pPr>
              <w:spacing w:after="4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-Los espacios sagrados de la fiesta</w:t>
            </w:r>
          </w:p>
          <w:p w:rsidR="00B96137" w:rsidRPr="00B048B8" w:rsidRDefault="00B96137" w:rsidP="00E74B04">
            <w:pPr>
              <w:spacing w:after="40"/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sz w:val="20"/>
                <w:lang w:val="es-ES"/>
              </w:rPr>
              <w:t>-Los recorridos ceremoniales de la fiesta</w:t>
            </w:r>
          </w:p>
        </w:tc>
      </w:tr>
      <w:tr w:rsidR="00B96137" w:rsidRPr="00E631F7" w:rsidTr="00E74B04">
        <w:trPr>
          <w:trHeight w:val="334"/>
          <w:jc w:val="center"/>
        </w:trPr>
        <w:tc>
          <w:tcPr>
            <w:tcW w:w="1049" w:type="dxa"/>
          </w:tcPr>
          <w:p w:rsidR="00B96137" w:rsidRPr="0090540C" w:rsidRDefault="00B96137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7662" w:type="dxa"/>
          </w:tcPr>
          <w:p w:rsidR="00B96137" w:rsidRPr="00B048B8" w:rsidRDefault="00B96137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veintena de Etzalcualiztli:</w:t>
            </w:r>
          </w:p>
          <w:p w:rsidR="00B96137" w:rsidRPr="00B048B8" w:rsidRDefault="00B96137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-Análisis de los ritos principales a través de las interpretaciones contemporáneas</w:t>
            </w:r>
          </w:p>
          <w:p w:rsidR="00B96137" w:rsidRPr="00B048B8" w:rsidRDefault="00B96137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-Los espacios sagrados de la fiesta</w:t>
            </w:r>
          </w:p>
          <w:p w:rsidR="00B96137" w:rsidRPr="00B048B8" w:rsidRDefault="00B96137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-Los recorridos ceremoniales de la fiesta</w:t>
            </w:r>
          </w:p>
        </w:tc>
      </w:tr>
      <w:tr w:rsidR="00352512" w:rsidRPr="00E631F7" w:rsidTr="00E74B04">
        <w:trPr>
          <w:trHeight w:val="334"/>
          <w:jc w:val="center"/>
        </w:trPr>
        <w:tc>
          <w:tcPr>
            <w:tcW w:w="1049" w:type="dxa"/>
          </w:tcPr>
          <w:p w:rsidR="00352512" w:rsidRPr="0090540C" w:rsidRDefault="00352512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7662" w:type="dxa"/>
          </w:tcPr>
          <w:p w:rsidR="00352512" w:rsidRPr="00B048B8" w:rsidRDefault="00352512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La veintena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Ochpaniztli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>:</w:t>
            </w:r>
          </w:p>
          <w:p w:rsidR="00352512" w:rsidRPr="00B048B8" w:rsidRDefault="00352512" w:rsidP="00352512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 Análisis de los ritos principales a través de las interpretaciones contemporáneas</w:t>
            </w:r>
          </w:p>
          <w:p w:rsidR="00352512" w:rsidRPr="00B048B8" w:rsidRDefault="00352512" w:rsidP="00352512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-Los espacios sagrados de la fiesta</w:t>
            </w:r>
          </w:p>
          <w:p w:rsidR="00352512" w:rsidRPr="00B048B8" w:rsidRDefault="00352512" w:rsidP="00352512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-Los recorridos ceremoniales de la fiesta</w:t>
            </w:r>
          </w:p>
        </w:tc>
      </w:tr>
      <w:tr w:rsidR="00352512" w:rsidRPr="00E631F7" w:rsidTr="00E74B04">
        <w:trPr>
          <w:trHeight w:val="334"/>
          <w:jc w:val="center"/>
        </w:trPr>
        <w:tc>
          <w:tcPr>
            <w:tcW w:w="1049" w:type="dxa"/>
          </w:tcPr>
          <w:p w:rsidR="00352512" w:rsidRPr="0090540C" w:rsidRDefault="00352512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7662" w:type="dxa"/>
          </w:tcPr>
          <w:p w:rsidR="00352512" w:rsidRPr="00B048B8" w:rsidRDefault="00352512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La veintena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Panquetzaliztli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>:</w:t>
            </w:r>
          </w:p>
          <w:p w:rsidR="00352512" w:rsidRPr="00B048B8" w:rsidRDefault="00352512" w:rsidP="00352512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 Análisis de los ritos principales a través de las interpretaciones contemporáneas</w:t>
            </w:r>
          </w:p>
          <w:p w:rsidR="00352512" w:rsidRPr="00B048B8" w:rsidRDefault="00352512" w:rsidP="00352512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-Los espacios sagrados de la fiesta</w:t>
            </w:r>
          </w:p>
          <w:p w:rsidR="00352512" w:rsidRPr="00B048B8" w:rsidRDefault="00352512" w:rsidP="00352512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lastRenderedPageBreak/>
              <w:t>-Los recorridos ceremoniales de la fiesta</w:t>
            </w:r>
          </w:p>
        </w:tc>
      </w:tr>
      <w:tr w:rsidR="00654B78" w:rsidRPr="00E631F7" w:rsidTr="00E74B04">
        <w:trPr>
          <w:trHeight w:val="334"/>
          <w:jc w:val="center"/>
        </w:trPr>
        <w:tc>
          <w:tcPr>
            <w:tcW w:w="1049" w:type="dxa"/>
          </w:tcPr>
          <w:p w:rsidR="00654B78" w:rsidRPr="0090540C" w:rsidRDefault="00654B78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lastRenderedPageBreak/>
              <w:t>5</w:t>
            </w:r>
          </w:p>
        </w:tc>
        <w:tc>
          <w:tcPr>
            <w:tcW w:w="7662" w:type="dxa"/>
          </w:tcPr>
          <w:p w:rsidR="00654B78" w:rsidRPr="00B048B8" w:rsidRDefault="00654B78" w:rsidP="00176FB8">
            <w:pPr>
              <w:jc w:val="both"/>
              <w:rPr>
                <w:rFonts w:ascii="Arial Narrow" w:hAnsi="Arial Narrow" w:cs="Arial"/>
                <w:caps/>
                <w:sz w:val="20"/>
                <w:lang w:val="es-ES"/>
              </w:rPr>
            </w:pPr>
            <w:r w:rsidRPr="00B048B8">
              <w:rPr>
                <w:rFonts w:ascii="Arial Narrow" w:hAnsi="Arial Narrow"/>
                <w:caps/>
                <w:sz w:val="20"/>
                <w:lang w:val="es-ES"/>
              </w:rPr>
              <w:t xml:space="preserve">SEGUNDA PARTE: </w:t>
            </w:r>
            <w:r w:rsidRPr="00B048B8">
              <w:rPr>
                <w:rFonts w:ascii="Arial Narrow" w:hAnsi="Arial Narrow" w:cs="Arial"/>
                <w:sz w:val="20"/>
                <w:lang w:val="es-ES"/>
              </w:rPr>
              <w:t xml:space="preserve">La relación entre mito y rito en torno a la figura de </w:t>
            </w:r>
            <w:proofErr w:type="spellStart"/>
            <w:r w:rsidRPr="00B048B8">
              <w:rPr>
                <w:rFonts w:ascii="Arial Narrow" w:hAnsi="Arial Narrow" w:cs="Arial"/>
                <w:sz w:val="20"/>
                <w:lang w:val="es-ES"/>
              </w:rPr>
              <w:t>Quetzalcoatl</w:t>
            </w:r>
            <w:proofErr w:type="spellEnd"/>
          </w:p>
          <w:p w:rsidR="00654B78" w:rsidRPr="00B048B8" w:rsidRDefault="00654B78" w:rsidP="00176FB8">
            <w:pPr>
              <w:jc w:val="both"/>
              <w:rPr>
                <w:rFonts w:cs="Arial"/>
                <w:sz w:val="20"/>
                <w:lang w:val="es-ES"/>
              </w:rPr>
            </w:pPr>
            <w:r w:rsidRPr="00B048B8">
              <w:rPr>
                <w:rFonts w:ascii="Arial Narrow" w:hAnsi="Arial Narrow" w:cs="Arial"/>
                <w:caps/>
                <w:sz w:val="20"/>
                <w:lang w:val="es-ES"/>
              </w:rPr>
              <w:t>I</w:t>
            </w:r>
            <w:r w:rsidRPr="00B048B8">
              <w:rPr>
                <w:rFonts w:ascii="Arial Narrow" w:hAnsi="Arial Narrow" w:cs="Arial"/>
                <w:sz w:val="20"/>
                <w:lang w:val="es-ES"/>
              </w:rPr>
              <w:t>ntroducción</w:t>
            </w:r>
            <w:r w:rsidR="00065A56" w:rsidRPr="00B048B8">
              <w:rPr>
                <w:rFonts w:ascii="Arial Narrow" w:hAnsi="Arial Narrow" w:cs="Arial"/>
                <w:sz w:val="20"/>
                <w:lang w:val="es-ES"/>
              </w:rPr>
              <w:t xml:space="preserve">: </w:t>
            </w:r>
          </w:p>
          <w:p w:rsidR="00654B78" w:rsidRPr="00B048B8" w:rsidRDefault="00654B78" w:rsidP="00176FB8">
            <w:pPr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cs="Arial"/>
                <w:sz w:val="20"/>
                <w:lang w:val="es-ES"/>
              </w:rPr>
              <w:t xml:space="preserve">- </w:t>
            </w:r>
            <w:r w:rsidRPr="00B048B8">
              <w:rPr>
                <w:rFonts w:ascii="Arial Narrow" w:hAnsi="Arial Narrow" w:cs="Arial"/>
                <w:sz w:val="20"/>
                <w:lang w:val="es-ES"/>
              </w:rPr>
              <w:t>Mitos y ritos: recapitulación</w:t>
            </w:r>
          </w:p>
          <w:p w:rsidR="00654B78" w:rsidRPr="00B048B8" w:rsidRDefault="00654B78" w:rsidP="00176FB8">
            <w:pPr>
              <w:jc w:val="both"/>
              <w:rPr>
                <w:rFonts w:ascii="Arial Narrow" w:hAnsi="Arial Narrow" w:cs="Arial"/>
                <w:sz w:val="20"/>
                <w:lang w:val="es-ES"/>
              </w:rPr>
            </w:pPr>
            <w:r w:rsidRPr="00B048B8">
              <w:rPr>
                <w:rFonts w:cs="Arial"/>
                <w:sz w:val="20"/>
                <w:lang w:val="es-ES"/>
              </w:rPr>
              <w:t>-</w:t>
            </w:r>
            <w:proofErr w:type="spellStart"/>
            <w:r w:rsidRPr="00B048B8">
              <w:rPr>
                <w:rFonts w:ascii="Arial Narrow" w:hAnsi="Arial Narrow" w:cs="Arial"/>
                <w:sz w:val="20"/>
                <w:lang w:val="es-ES"/>
              </w:rPr>
              <w:t>Quetzalcoatl</w:t>
            </w:r>
            <w:proofErr w:type="spellEnd"/>
            <w:r w:rsidRPr="00B048B8">
              <w:rPr>
                <w:rFonts w:ascii="Arial Narrow" w:hAnsi="Arial Narrow" w:cs="Arial"/>
                <w:sz w:val="20"/>
                <w:lang w:val="es-ES"/>
              </w:rPr>
              <w:t xml:space="preserve"> en </w:t>
            </w:r>
            <w:r w:rsidR="00065A56" w:rsidRPr="00B048B8">
              <w:rPr>
                <w:rFonts w:ascii="Arial Narrow" w:hAnsi="Arial Narrow" w:cs="Arial"/>
                <w:sz w:val="20"/>
                <w:lang w:val="es-ES"/>
              </w:rPr>
              <w:t>la mitología</w:t>
            </w:r>
            <w:r w:rsidR="00BA6A76" w:rsidRPr="00B048B8">
              <w:rPr>
                <w:rFonts w:ascii="Arial Narrow" w:hAnsi="Arial Narrow" w:cs="Arial"/>
                <w:sz w:val="20"/>
                <w:lang w:val="es-ES"/>
              </w:rPr>
              <w:t xml:space="preserve"> y el</w:t>
            </w:r>
            <w:r w:rsidRPr="00B048B8">
              <w:rPr>
                <w:rFonts w:ascii="Arial Narrow" w:hAnsi="Arial Narrow" w:cs="Arial"/>
                <w:sz w:val="20"/>
                <w:lang w:val="es-ES"/>
              </w:rPr>
              <w:t xml:space="preserve"> ciclo festivo de las veintenas</w:t>
            </w:r>
          </w:p>
          <w:p w:rsidR="00654B78" w:rsidRPr="00B048B8" w:rsidRDefault="00654B78" w:rsidP="00654B7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El descubrimiento del Maíz: de Etzalcualiztli a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Ochpaniztl</w:t>
            </w:r>
            <w:r w:rsidR="00065A56" w:rsidRPr="00B048B8">
              <w:rPr>
                <w:rFonts w:ascii="Arial Narrow" w:hAnsi="Arial Narrow"/>
                <w:sz w:val="20"/>
                <w:lang w:val="es-ES"/>
              </w:rPr>
              <w:t>i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</w:t>
            </w:r>
          </w:p>
          <w:p w:rsidR="00654B78" w:rsidRPr="00B048B8" w:rsidRDefault="00176FB8" w:rsidP="00654B7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</w:t>
            </w:r>
            <w:r w:rsidR="00BA6A76" w:rsidRPr="00B048B8">
              <w:rPr>
                <w:rFonts w:ascii="Arial Narrow" w:hAnsi="Arial Narrow"/>
                <w:sz w:val="20"/>
                <w:lang w:val="es-ES"/>
              </w:rPr>
              <w:t>El mito prehispánico y contemporáneo: fuentes y contenido</w:t>
            </w:r>
          </w:p>
          <w:p w:rsidR="00654B78" w:rsidRPr="00B048B8" w:rsidRDefault="00654B78" w:rsidP="00654B7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 La propuesta de López Austin y López Luján: Etzalcualiztli</w:t>
            </w:r>
          </w:p>
          <w:p w:rsidR="00654B78" w:rsidRPr="00B048B8" w:rsidRDefault="00654B78" w:rsidP="00654B7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La propuesta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Graulich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: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Ochpaniztli</w:t>
            </w:r>
            <w:proofErr w:type="spellEnd"/>
          </w:p>
        </w:tc>
      </w:tr>
      <w:tr w:rsidR="00654B78" w:rsidRPr="00E631F7" w:rsidTr="00E74B04">
        <w:trPr>
          <w:trHeight w:val="334"/>
          <w:jc w:val="center"/>
        </w:trPr>
        <w:tc>
          <w:tcPr>
            <w:tcW w:w="1049" w:type="dxa"/>
          </w:tcPr>
          <w:p w:rsidR="00654B78" w:rsidRPr="0090540C" w:rsidRDefault="00654B78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7662" w:type="dxa"/>
          </w:tcPr>
          <w:p w:rsidR="00BA6A76" w:rsidRPr="00B048B8" w:rsidRDefault="00654B78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creación de las flores y las fiestas de las veintenas</w:t>
            </w:r>
            <w:r w:rsidR="00065A56" w:rsidRPr="00B048B8">
              <w:rPr>
                <w:rFonts w:ascii="Arial Narrow" w:hAnsi="Arial Narrow"/>
                <w:sz w:val="20"/>
                <w:lang w:val="es-ES"/>
              </w:rPr>
              <w:t xml:space="preserve">: </w:t>
            </w:r>
            <w:r w:rsidR="00BA6A76" w:rsidRPr="00B048B8">
              <w:rPr>
                <w:rFonts w:ascii="Arial Narrow" w:hAnsi="Arial Narrow"/>
                <w:sz w:val="20"/>
                <w:lang w:val="es-ES"/>
              </w:rPr>
              <w:t xml:space="preserve"> </w:t>
            </w:r>
          </w:p>
          <w:p w:rsidR="00BA6A76" w:rsidRPr="00B048B8" w:rsidRDefault="00BA6A76" w:rsidP="00BA6A76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 El mito y sus interpretaciones</w:t>
            </w:r>
          </w:p>
          <w:p w:rsidR="00BA6A76" w:rsidRPr="00B048B8" w:rsidRDefault="00BA6A76" w:rsidP="00BA6A76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Las fiestas de primicias de flores: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Tozoztontli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y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Tlaxochimaco</w:t>
            </w:r>
            <w:proofErr w:type="spellEnd"/>
          </w:p>
          <w:p w:rsidR="00BA6A76" w:rsidRPr="00B048B8" w:rsidRDefault="00BA6A76" w:rsidP="00BA6A76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Relaciones sexuales ilícitas y fecundación: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Ochpaniztli</w:t>
            </w:r>
            <w:proofErr w:type="spellEnd"/>
          </w:p>
          <w:p w:rsidR="00BA6A76" w:rsidRPr="00B048B8" w:rsidRDefault="00BA6A76" w:rsidP="00BA6A76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Flores,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Quetzalcoatl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y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Xochiquetzal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en las fiestas de las veintenas</w:t>
            </w:r>
          </w:p>
        </w:tc>
      </w:tr>
      <w:tr w:rsidR="00654B78" w:rsidRPr="00E631F7" w:rsidTr="00E74B04">
        <w:trPr>
          <w:trHeight w:val="334"/>
          <w:jc w:val="center"/>
        </w:trPr>
        <w:tc>
          <w:tcPr>
            <w:tcW w:w="1049" w:type="dxa"/>
          </w:tcPr>
          <w:p w:rsidR="00654B78" w:rsidRPr="0090540C" w:rsidRDefault="00654B78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7662" w:type="dxa"/>
          </w:tcPr>
          <w:p w:rsidR="00BA6A76" w:rsidRPr="00B048B8" w:rsidRDefault="00654B78" w:rsidP="00176FB8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alternancia de los Soles y las fiestas de las veintenas I</w:t>
            </w:r>
            <w:r w:rsidR="00BA6A76" w:rsidRPr="00B048B8">
              <w:rPr>
                <w:rFonts w:ascii="Arial Narrow" w:hAnsi="Arial Narrow"/>
                <w:sz w:val="20"/>
                <w:lang w:val="es-ES"/>
              </w:rPr>
              <w:t xml:space="preserve">: </w:t>
            </w:r>
          </w:p>
          <w:p w:rsidR="00BA6A76" w:rsidRPr="00B048B8" w:rsidRDefault="00BA6A76" w:rsidP="00BA6A76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- Las alusiones a la creación y destrucción de los Soles en las veintenas</w:t>
            </w:r>
          </w:p>
          <w:p w:rsidR="00BA6A76" w:rsidRPr="00B048B8" w:rsidRDefault="00BA6A76" w:rsidP="00BA6A76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Quecholli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y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Panquetzaliztli</w:t>
            </w:r>
            <w:proofErr w:type="spellEnd"/>
            <w:r w:rsidR="00065A56" w:rsidRPr="00B048B8">
              <w:rPr>
                <w:rFonts w:ascii="Arial Narrow" w:hAnsi="Arial Narrow"/>
                <w:sz w:val="20"/>
                <w:lang w:val="es-ES"/>
              </w:rPr>
              <w:t xml:space="preserve">: </w:t>
            </w:r>
            <w:proofErr w:type="spellStart"/>
            <w:r w:rsidR="00065A56" w:rsidRPr="00B048B8">
              <w:rPr>
                <w:rFonts w:ascii="Arial Narrow" w:hAnsi="Arial Narrow"/>
                <w:sz w:val="20"/>
                <w:lang w:val="es-ES"/>
              </w:rPr>
              <w:t>Mixcoatl</w:t>
            </w:r>
            <w:proofErr w:type="spellEnd"/>
            <w:r w:rsidR="00065A56" w:rsidRPr="00B048B8">
              <w:rPr>
                <w:rFonts w:ascii="Arial Narrow" w:hAnsi="Arial Narrow"/>
                <w:sz w:val="20"/>
                <w:lang w:val="es-ES"/>
              </w:rPr>
              <w:t xml:space="preserve">, </w:t>
            </w:r>
            <w:proofErr w:type="spellStart"/>
            <w:r w:rsidR="00065A56" w:rsidRPr="00B048B8">
              <w:rPr>
                <w:rFonts w:ascii="Arial Narrow" w:hAnsi="Arial Narrow"/>
                <w:sz w:val="20"/>
                <w:lang w:val="es-ES"/>
              </w:rPr>
              <w:t>Quetzalcoatl</w:t>
            </w:r>
            <w:proofErr w:type="spellEnd"/>
            <w:r w:rsidR="00065A56" w:rsidRPr="00B048B8">
              <w:rPr>
                <w:rFonts w:ascii="Arial Narrow" w:hAnsi="Arial Narrow"/>
                <w:sz w:val="20"/>
                <w:lang w:val="es-ES"/>
              </w:rPr>
              <w:t xml:space="preserve"> y </w:t>
            </w:r>
            <w:proofErr w:type="spellStart"/>
            <w:r w:rsidR="00065A56" w:rsidRPr="00B048B8">
              <w:rPr>
                <w:rFonts w:ascii="Arial Narrow" w:hAnsi="Arial Narrow"/>
                <w:sz w:val="20"/>
                <w:lang w:val="es-ES"/>
              </w:rPr>
              <w:t>Huitzilopochtli</w:t>
            </w:r>
            <w:proofErr w:type="spellEnd"/>
          </w:p>
          <w:p w:rsidR="00654B78" w:rsidRPr="00B048B8" w:rsidRDefault="00654B78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Presentación de trabajos de estudiantes </w:t>
            </w:r>
          </w:p>
        </w:tc>
      </w:tr>
      <w:tr w:rsidR="00654B78" w:rsidRPr="00E631F7" w:rsidTr="00065A56">
        <w:trPr>
          <w:trHeight w:val="1185"/>
          <w:jc w:val="center"/>
        </w:trPr>
        <w:tc>
          <w:tcPr>
            <w:tcW w:w="1049" w:type="dxa"/>
          </w:tcPr>
          <w:p w:rsidR="00654B78" w:rsidRPr="0090540C" w:rsidRDefault="00654B78" w:rsidP="00E74B04">
            <w:pPr>
              <w:spacing w:after="40"/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</w:pPr>
            <w:r w:rsidRPr="0090540C">
              <w:rPr>
                <w:rFonts w:ascii="Arial Narrow" w:hAnsi="Arial Narrow" w:cs="Arial"/>
                <w:b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7662" w:type="dxa"/>
          </w:tcPr>
          <w:p w:rsidR="00654B78" w:rsidRPr="00B048B8" w:rsidRDefault="00654B78" w:rsidP="00176FB8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La alternancia de los Soles y las fiestas de las veintenas II</w:t>
            </w:r>
            <w:r w:rsidR="00065A56" w:rsidRPr="00B048B8">
              <w:rPr>
                <w:rFonts w:ascii="Arial Narrow" w:hAnsi="Arial Narrow"/>
                <w:sz w:val="20"/>
                <w:lang w:val="es-ES"/>
              </w:rPr>
              <w:t xml:space="preserve">: </w:t>
            </w:r>
          </w:p>
          <w:p w:rsidR="00BA6A76" w:rsidRPr="00B048B8" w:rsidRDefault="00BA6A76" w:rsidP="00176FB8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La caída de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Tollan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y el fin del Cuarto Sol: </w:t>
            </w:r>
            <w:proofErr w:type="spellStart"/>
            <w:r w:rsidR="00065A56" w:rsidRPr="00B048B8">
              <w:rPr>
                <w:rFonts w:ascii="Arial Narrow" w:hAnsi="Arial Narrow"/>
                <w:sz w:val="20"/>
                <w:lang w:val="es-ES"/>
              </w:rPr>
              <w:t>Quetzalcoatl</w:t>
            </w:r>
            <w:proofErr w:type="spellEnd"/>
            <w:r w:rsidR="00065A56" w:rsidRPr="00B048B8">
              <w:rPr>
                <w:rFonts w:ascii="Arial Narrow" w:hAnsi="Arial Narrow"/>
                <w:sz w:val="20"/>
                <w:lang w:val="es-ES"/>
              </w:rPr>
              <w:t xml:space="preserve"> y </w:t>
            </w:r>
            <w:proofErr w:type="spellStart"/>
            <w:r w:rsidR="00065A56" w:rsidRPr="00B048B8">
              <w:rPr>
                <w:rFonts w:ascii="Arial Narrow" w:hAnsi="Arial Narrow"/>
                <w:sz w:val="20"/>
                <w:lang w:val="es-ES"/>
              </w:rPr>
              <w:t>Tezcatlipoca</w:t>
            </w:r>
            <w:proofErr w:type="spellEnd"/>
          </w:p>
          <w:p w:rsidR="00BA6A76" w:rsidRPr="00B048B8" w:rsidRDefault="00065A56" w:rsidP="00176FB8">
            <w:pPr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 xml:space="preserve">-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Huey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Tecuilhuitl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>: ¿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Tezcatlipoca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 o </w:t>
            </w:r>
            <w:proofErr w:type="spellStart"/>
            <w:r w:rsidRPr="00B048B8">
              <w:rPr>
                <w:rFonts w:ascii="Arial Narrow" w:hAnsi="Arial Narrow"/>
                <w:sz w:val="20"/>
                <w:lang w:val="es-ES"/>
              </w:rPr>
              <w:t>Quetzalcoatl</w:t>
            </w:r>
            <w:proofErr w:type="spellEnd"/>
            <w:r w:rsidRPr="00B048B8">
              <w:rPr>
                <w:rFonts w:ascii="Arial Narrow" w:hAnsi="Arial Narrow"/>
                <w:sz w:val="20"/>
                <w:lang w:val="es-ES"/>
              </w:rPr>
              <w:t xml:space="preserve">? </w:t>
            </w:r>
          </w:p>
          <w:p w:rsidR="00654B78" w:rsidRPr="00B048B8" w:rsidRDefault="00654B78" w:rsidP="006A46D8">
            <w:pPr>
              <w:spacing w:after="40"/>
              <w:jc w:val="both"/>
              <w:rPr>
                <w:rFonts w:ascii="Arial Narrow" w:hAnsi="Arial Narrow"/>
                <w:sz w:val="20"/>
                <w:lang w:val="es-ES"/>
              </w:rPr>
            </w:pPr>
            <w:r w:rsidRPr="00B048B8">
              <w:rPr>
                <w:rFonts w:ascii="Arial Narrow" w:hAnsi="Arial Narrow"/>
                <w:sz w:val="20"/>
                <w:lang w:val="es-ES"/>
              </w:rPr>
              <w:t>Presentación de trabajos de estudiantes</w:t>
            </w:r>
          </w:p>
        </w:tc>
      </w:tr>
    </w:tbl>
    <w:p w:rsidR="00E74B04" w:rsidRPr="00B048B8" w:rsidRDefault="00E74B04" w:rsidP="00E74B04">
      <w:pPr>
        <w:rPr>
          <w:rFonts w:ascii="Arial" w:hAnsi="Arial" w:cs="Arial"/>
          <w:sz w:val="20"/>
          <w:lang w:val="es-ES"/>
        </w:rPr>
      </w:pPr>
    </w:p>
    <w:p w:rsidR="00E74B04" w:rsidRPr="00B048B8" w:rsidRDefault="00E74B04" w:rsidP="00E74B04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B048B8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6078FC" w:rsidRDefault="00E74B04" w:rsidP="00E74B04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6078FC">
              <w:rPr>
                <w:rFonts w:ascii="Arial" w:hAnsi="Arial" w:cs="Arial"/>
                <w:b/>
                <w:sz w:val="20"/>
                <w:lang w:val="es-ES"/>
              </w:rPr>
              <w:t xml:space="preserve">Bibliografía básica: 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ACOSTA SAIGNES, M., 1950,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Tlacaxipehualiztli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, un complejo mesoamericano entre los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Caribes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Caracas: Universidad Central.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AGUILERA, C., 1982, “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Xolpan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Tonalco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: Una hipótesis acerca de la correlación astronómica</w:t>
            </w:r>
            <w:r w:rsidR="00EA719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del calendario mexica”,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15, pp. 185-207.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AVENI, A. F., 1991, “Mapping the Ritual Landscape: Debt Payment to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Tlaloc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During the Month</w:t>
            </w:r>
            <w:r w:rsidR="003D5376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of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Atlcahualo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”, en D. Carrasco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To Change Place.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Aztec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ceremonial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landscape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Niwot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:</w:t>
            </w:r>
            <w:r w:rsidR="009708A1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University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Press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of Colorado, pp. 58-73.</w:t>
            </w:r>
          </w:p>
          <w:p w:rsidR="00FE2C72" w:rsidRPr="00E631F7" w:rsidRDefault="00FE2C7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FE2C72" w:rsidRPr="00E631F7" w:rsidRDefault="00F12F54" w:rsidP="00F12F54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BARRERA RODRÍGUEZ, R., R. MARTÍNEZ MEZA, R. MORALES SÁNCHEZ, L. VÁZQUEZ VALLIN, 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2012</w:t>
            </w:r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,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“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Espacios rituales frente al Templo Mayor de</w:t>
            </w:r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Tenochtitlan</w:t>
            </w:r>
            <w:proofErr w:type="spellEnd"/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”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, 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i/>
                <w:sz w:val="16"/>
                <w:szCs w:val="16"/>
                <w:lang w:val="es-ES"/>
              </w:rPr>
              <w:t>Arqueología Mexicana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, vol. 19, n</w:t>
            </w:r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.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116,</w:t>
            </w:r>
            <w:r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r w:rsidR="00FE2C72" w:rsidRPr="00E631F7">
              <w:rPr>
                <w:rStyle w:val="Textoennegrita"/>
                <w:rFonts w:ascii="Arial" w:hAnsi="Arial" w:cs="Arial"/>
                <w:b w:val="0"/>
                <w:sz w:val="16"/>
                <w:szCs w:val="16"/>
                <w:lang w:val="es-ES"/>
              </w:rPr>
              <w:t>pp. 18-23.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BARTL, R., B. GÖBEL y H. PREM, 1989, “Los calendarios aztecas de Sahagún”,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</w:t>
            </w:r>
            <w:r w:rsidR="00CC3F2D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19, pp. 13-82.</w:t>
            </w:r>
            <w:r w:rsidRPr="00E631F7">
              <w:rPr>
                <w:rFonts w:ascii="Arial Narrow" w:hAnsi="Arial Narrow" w:cs="Arial"/>
                <w:sz w:val="16"/>
                <w:szCs w:val="16"/>
                <w:lang w:val="es-ES" w:eastAsia="it-IT"/>
              </w:rPr>
              <w:t>􀀁</w:t>
            </w:r>
          </w:p>
          <w:p w:rsidR="00FE2C72" w:rsidRPr="00E631F7" w:rsidRDefault="00FE2C7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FE2C72" w:rsidRPr="00E631F7" w:rsidRDefault="00F12F54" w:rsidP="00F12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AUDEZ, C., 2010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r w:rsidR="00D7608F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Sacrificio de ‘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sí</w:t>
            </w:r>
            <w:r w:rsidR="00D7608F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’, sacrificio del ‘otro’”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en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L.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López Luján y G. Olivier (ed.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),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El sacrificio humano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en la tradición religiosa mesoamericana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México: INAH, UNAM, </w:t>
            </w:r>
            <w:r w:rsidR="00E91795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pp.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431-451.</w:t>
            </w:r>
          </w:p>
          <w:p w:rsidR="00F12F54" w:rsidRPr="00E631F7" w:rsidRDefault="00F12F54" w:rsidP="00FE2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FE2C72" w:rsidRPr="00E631F7" w:rsidRDefault="00B048B8" w:rsidP="00F12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__________, 2011,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La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danse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l’éraflure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tlahuauanaliztli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)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ou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la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réc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onciliation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</w:t>
            </w:r>
            <w:proofErr w:type="spellStart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antagonismes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en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S.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Peperstraete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N. </w:t>
            </w:r>
            <w:proofErr w:type="spellStart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Ragot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G. Olivier (ed.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),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La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quête</w:t>
            </w:r>
            <w:proofErr w:type="spellEnd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du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serpent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à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plumes</w:t>
            </w:r>
            <w:proofErr w:type="spellEnd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Arts</w:t>
            </w:r>
            <w:proofErr w:type="spellEnd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religions</w:t>
            </w:r>
            <w:proofErr w:type="spellEnd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l’Amérique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précolombienne</w:t>
            </w:r>
            <w:proofErr w:type="spellEnd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Hommage</w:t>
            </w:r>
            <w:proofErr w:type="spellEnd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à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Michel </w:t>
            </w:r>
            <w:proofErr w:type="spellStart"/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Graulich</w:t>
            </w:r>
            <w:proofErr w:type="spellEnd"/>
            <w:r w:rsidR="008A4CA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="008A4CA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Turnhout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: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Brepols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Publishers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Bibliothèque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l’École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</w:t>
            </w:r>
            <w:r w:rsidR="008A4CA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atique</w:t>
            </w:r>
            <w:proofErr w:type="spellEnd"/>
            <w:r w:rsidR="008A4CA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Hautes </w:t>
            </w:r>
            <w:proofErr w:type="spellStart"/>
            <w:r w:rsidR="008A4CA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Études–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Sciences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religieuses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pp. 137-145.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BRODA, J., 1969,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The Mexican Calendar as Compared to Other Mesoamerican Systems</w:t>
            </w:r>
            <w:r w:rsidR="008A4CAB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="008A4CAB" w:rsidRPr="00E631F7">
              <w:rPr>
                <w:rFonts w:ascii="Arial" w:hAnsi="Arial" w:cs="Arial"/>
                <w:sz w:val="16"/>
                <w:szCs w:val="16"/>
                <w:lang w:eastAsia="it-IT"/>
              </w:rPr>
              <w:t>Viena</w:t>
            </w:r>
            <w:proofErr w:type="spellEnd"/>
            <w:r w:rsidR="008A4CAB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Acta</w:t>
            </w:r>
            <w:proofErr w:type="spellEnd"/>
            <w:r w:rsidR="008A4CAB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Ethnologica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Linguistica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15, Series Americana 4.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________, 1970, “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Tlacaxipehualiztli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: A reconstruction of an Aztec calendar festival from 16th</w:t>
            </w:r>
            <w:r w:rsidR="0037559F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century sources”,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Revista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Española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Antropología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Americana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 n. 5, pp. 197-274.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________, 1971, “Las fiestas aztecas de los dioses de la </w:t>
            </w:r>
            <w:proofErr w:type="gram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lluvia :</w:t>
            </w:r>
            <w:proofErr w:type="gram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una reconstrucción según las</w:t>
            </w:r>
            <w:r w:rsidR="0037559F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fuentes del siglo XVI”,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Revista Española de Antropología Americana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6, pp. 245-327.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BROTHERSTON, G., 2003, “The year in the Mexican codices: the nature and structure of the</w:t>
            </w:r>
            <w:r w:rsidR="005951B9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eighteen feasts”,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Estudios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lastRenderedPageBreak/>
              <w:t xml:space="preserve">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Cultura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Náhuatl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 n. 34, pp. 67-98.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6A46D8" w:rsidRPr="00E631F7" w:rsidRDefault="00352512" w:rsidP="005951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BROWN, B. A., 1977,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European Influences in the Early Colonial Descriptions and Illustrations of</w:t>
            </w:r>
            <w:r w:rsidR="005951B9"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the Mexico Monthly Calendar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r w:rsidR="001870F2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Ph.D. </w:t>
            </w:r>
            <w:r w:rsidR="000A29D6" w:rsidRPr="00E631F7">
              <w:rPr>
                <w:rFonts w:ascii="Arial" w:hAnsi="Arial" w:cs="Arial"/>
                <w:sz w:val="16"/>
                <w:szCs w:val="16"/>
                <w:lang w:eastAsia="it-IT"/>
              </w:rPr>
              <w:t>t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hesis. Albuquerque:</w:t>
            </w:r>
            <w:r w:rsidR="00484BCD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University of New Mexico.</w:t>
            </w:r>
          </w:p>
          <w:p w:rsidR="00352512" w:rsidRPr="00E631F7" w:rsidRDefault="00352512" w:rsidP="00352512">
            <w:pPr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____________, 1984, “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Ochpaniztli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in Historical Perspective”, en E.H. Boone (ed.)</w:t>
            </w:r>
            <w:proofErr w:type="gram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Ritual</w:t>
            </w:r>
            <w:proofErr w:type="gram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Human</w:t>
            </w:r>
            <w:r w:rsidR="003A124E"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Sacrifice in Mesoamerica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 Washington D.C: Dumbarton Oaks, pp. 195-210.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____________, 1988, “All around the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Xocotl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pole. Reexamination of </w:t>
            </w:r>
            <w:proofErr w:type="gram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a</w:t>
            </w:r>
            <w:proofErr w:type="gram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Aztec Sacrificial Ceremony”, en J. K.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Josserand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y K. Dakin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Smoke and Mist: Mesoamerican Studies in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Memory of Thelma D. Sullivan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Oxford: British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Archaeological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Reports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pp. 173-189.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CARRASCO, P., 1979, “Las fiestas de los meses mexicanos”, en B.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Dahlgren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Mesoamérica: Homenaje al Doctor Paul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Kirchhoff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SEP/INAH.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CASO, A., 1967,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Los calendarios prehispánicos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UNAM.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CASTILLO, V. M</w:t>
            </w:r>
            <w:proofErr w:type="gram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,</w:t>
            </w:r>
            <w:proofErr w:type="gram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1971, “El bisiesto náhuatl”,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9, pp. 75-104.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CLAVIJERO, F. J., 1964,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Historia antigua de México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Editorial Porrúa.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AZCATITLAN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1995,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Codex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Azcatitlan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2 vols. París: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Bibliothèque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Nationale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France, Société des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Américanistes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BORBÓNICO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1991,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Códice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Borbonico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F.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Anders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M.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Jansen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L. Reyes García (ed.).</w:t>
            </w:r>
            <w:r w:rsidR="00077A2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Graz/ Madrid/ México: ADEVA/ Sociedad Estatal Quinto Centenario/ FCE.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MAGLIABECHIANO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1970,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Codex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Magliabechiano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Cl. XIII. 3 (B.R. 232)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Graz: ADEVA.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CÓDICE TELLERIANO-REMENSIS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1995,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Codex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Telleriano-Remensis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. Ritual, Divination and</w:t>
            </w:r>
            <w:r w:rsidR="00077A20"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History in a Pictorial Aztec Manuscript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E.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Quiñones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Keber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(ed.). Austin: University of Texas Press.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CÓDICE TOVAR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1951,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The Tovar Calendar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 New Haven: Memoirs of the Connecticut Academy of Arts and Sciences 11.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</w:p>
          <w:p w:rsidR="00352512" w:rsidRPr="00E631F7" w:rsidRDefault="00352512" w:rsidP="00F13D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TUDELA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2002,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El Códice Tudela y el grupo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Magliabechiano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: la tradición medieval europea de copia de códices en América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J. J. Batalla Rosado (ed.). Madrid: Testimonio</w:t>
            </w:r>
            <w:r w:rsidR="00F13DE7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Compañía Editorial.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VATICANUS 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1996,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Vaticano A 3738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F.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Anders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M.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Jansen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(ed.). Graz/ México: ADEVA/ FCE.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CORTÉS, H., 1970,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Cartas de relación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Porrúa.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2219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COSTUMBRES, FIESTAS, ENTERRAMIENTOS,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1945, “Costumbres, fiestas, enterramientos y</w:t>
            </w:r>
            <w:r w:rsidR="002219C7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diversas formas de proceder de los Indios de Nueva España”, F. Gómez de Orozco (ed.),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Tlalocan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2 (1), pp. 37-63.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COUCH, C., 1985,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The Festival Cycle of the Aztec Codex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Borbonicus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Oxford: British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Archaeological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Reports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FE2C72" w:rsidRPr="00E631F7" w:rsidRDefault="00FE2C72" w:rsidP="00F12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DEHOUVE, D., 2008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El venado, el maíz y el sacrificado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Diario de</w:t>
            </w:r>
            <w:r w:rsidR="00F12F54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campo.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Cuadernos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Etnología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 n</w:t>
            </w:r>
            <w:r w:rsidR="00F12F54" w:rsidRPr="00E631F7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4, pp. 1-39.</w:t>
            </w:r>
          </w:p>
          <w:p w:rsidR="00FE2C72" w:rsidRPr="00E631F7" w:rsidRDefault="00FE2C72" w:rsidP="00FE2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DICESARE, C., 2009,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Sweeping the Way. Divine Transformation in</w:t>
            </w:r>
            <w:r w:rsidR="00397960"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the Aztec Festival of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Ochpaniztli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 Boulder: University Press of Colorado.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DUPEY GARCÍA, </w:t>
            </w:r>
            <w:proofErr w:type="gram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É.,</w:t>
            </w:r>
            <w:proofErr w:type="gram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2010,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Les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couleurs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dans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les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pratiques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et les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représentations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des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Nahuas</w:t>
            </w:r>
            <w:proofErr w:type="spellEnd"/>
            <w:r w:rsidR="00374836"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Mexique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central (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XIVe-XVIe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siècles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)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3 vols., </w:t>
            </w:r>
            <w:proofErr w:type="spellStart"/>
            <w:r w:rsidR="00374836" w:rsidRPr="00E631F7">
              <w:rPr>
                <w:rFonts w:ascii="Arial" w:hAnsi="Arial" w:cs="Arial"/>
                <w:sz w:val="16"/>
                <w:szCs w:val="16"/>
                <w:lang w:eastAsia="it-IT"/>
              </w:rPr>
              <w:t>tesis</w:t>
            </w:r>
            <w:proofErr w:type="spellEnd"/>
            <w:r w:rsidR="00374836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de </w:t>
            </w:r>
            <w:proofErr w:type="spellStart"/>
            <w:r w:rsidR="00374836" w:rsidRPr="00E631F7">
              <w:rPr>
                <w:rFonts w:ascii="Arial" w:hAnsi="Arial" w:cs="Arial"/>
                <w:sz w:val="16"/>
                <w:szCs w:val="16"/>
                <w:lang w:eastAsia="it-IT"/>
              </w:rPr>
              <w:t>doctorado</w:t>
            </w:r>
            <w:proofErr w:type="spellEnd"/>
            <w:r w:rsidR="00374836" w:rsidRPr="00E631F7">
              <w:rPr>
                <w:rFonts w:ascii="Arial" w:hAnsi="Arial" w:cs="Arial"/>
                <w:sz w:val="16"/>
                <w:szCs w:val="16"/>
                <w:lang w:eastAsia="it-IT"/>
              </w:rPr>
              <w:t>,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París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École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Pratique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des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Hautes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Études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Section de Sciences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Religieuses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_______________, 2013, “De pieles hediondas y perfumes florales. La reactualización del mito</w:t>
            </w:r>
            <w:r w:rsidR="006738B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de creación de las flores en las fiestas de las veintenas de los antiguos nahuas”,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v. 45, pp. 7-36.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DURÁN, D., 1984,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Historia de las Indias de Nueva España e islas de la Tierra Firme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Porrúa.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ESPINOSA PINEDA, G., 2010, “Las viñetas de las dieciocho fiestas del año en los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Primeros Memoriales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in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Tepeapulco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, región en perspectiva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Pachuca/ México: Universidad Autónoma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del Estado de Hidalgo/ Plaza y Valdés, pp. 69-116.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FRAZER, J., 1983,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Le Rameau d'Or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4 vols.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París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: Robert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Laffont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FE2C72" w:rsidRPr="00E631F7" w:rsidRDefault="00352512" w:rsidP="00F12F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GONZÁLEZ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GONZÁLEZ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C. J.,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2005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Ubicación e impor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tancia del templo de </w:t>
            </w:r>
            <w:proofErr w:type="spellStart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Xipe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Tótec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en la parcialidad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tenochca</w:t>
            </w:r>
            <w:proofErr w:type="spellEnd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Moyotlan</w:t>
            </w:r>
            <w:proofErr w:type="spellEnd"/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</w:t>
            </w:r>
            <w:r w:rsidR="00F12F54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studios de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</w:t>
            </w:r>
            <w:r w:rsidR="00F12F54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ultura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N</w:t>
            </w:r>
            <w:r w:rsidR="00F12F54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áhuatl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35,</w:t>
            </w:r>
            <w:r w:rsidR="00F12F5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pp. 47-65.</w:t>
            </w:r>
          </w:p>
          <w:p w:rsidR="00FE2C72" w:rsidRPr="00E631F7" w:rsidRDefault="00FE2C7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F12F54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lastRenderedPageBreak/>
              <w:t xml:space="preserve">________________________, </w:t>
            </w:r>
            <w:r w:rsidR="0035251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2011, </w:t>
            </w:r>
            <w:proofErr w:type="spellStart"/>
            <w:r w:rsidR="0035251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Xipe</w:t>
            </w:r>
            <w:proofErr w:type="spellEnd"/>
            <w:r w:rsidR="0035251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="0035251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Totec</w:t>
            </w:r>
            <w:proofErr w:type="spellEnd"/>
            <w:r w:rsidR="0035251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. Guerra y regeneración del maíz en la religión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="0035251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mexica</w:t>
            </w:r>
            <w:r w:rsidR="0035251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INAH, FCE.</w:t>
            </w:r>
          </w:p>
          <w:p w:rsidR="006738B0" w:rsidRPr="00E631F7" w:rsidRDefault="006738B0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FE2C72" w:rsidRPr="00E631F7" w:rsidRDefault="00A306D0" w:rsidP="00A306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GONZÁLEZ RUL, F.,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1963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proofErr w:type="spellStart"/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Tocititlan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nales del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useo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N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acional de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éxico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15, pp. 6-7.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GRAULICH, M., 1976, “Les origines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classiques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du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calendrier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rituel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mexicain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Boletín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Estudios Latinoamericanos y del Caribe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20, pp. 3-16.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______________, 1987,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Mythes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rituels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Mexique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ancien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préhispanique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Bruselas: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Académie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Royale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Belgique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______________, 1999,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Ritos aztecas. Las fiestas de las veintenas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INI.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______________, 2002b, “Acerca del ‘problema del ajuste del año calendárico mesoamericano</w:t>
            </w:r>
            <w:r w:rsidR="000914E3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al año trópico”,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33, pp. 45-56.</w:t>
            </w:r>
          </w:p>
          <w:p w:rsidR="00FE2C72" w:rsidRPr="00E631F7" w:rsidRDefault="00FE2C7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FE2C72" w:rsidRPr="00E631F7" w:rsidRDefault="00A306D0" w:rsidP="00A306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GUSSYNIER, J., 1969,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Hallazgos en el Metro, conjunto de adoratorios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superpuestos en Pino Suárez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Boletín del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I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nstituto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N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acional de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ntropología e </w:t>
            </w:r>
            <w:r w:rsidR="00FE2C72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istoria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36, pp.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FE2C72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33-37.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HEYDEN, D., 1991 “Dryness Before the Rains: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Toxcatl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and Tezcatlipoca”, in D. Carrasco (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ed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To Change Place.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Aztec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ceremonial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landscape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Niwot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University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Press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of Colorado, pp. 188-202.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KIRCHHOFF, P., 1971, “Las 18 Fiestas Anuales en Mesoamérica: 6 Fiestas sencillas y 6 Fiestas Dobles”,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38vo CIA (Stuttgart 1963)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vol. 3, pp. 207-</w:t>
            </w:r>
            <w:r w:rsidR="00CC78B1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2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21.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LIMÓN OLVERA, S., 2001,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El fuego sagrado: ritualidad y simbolismo entre los nahuas según las fuentes documentales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INAH, UNAM.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LIZARDI RAMOS, C., 1969, “Los calendarios prehispánicos de Alfonso Caso”,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8, pp. 313-369.</w:t>
            </w: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36330" w:rsidRPr="00E631F7" w:rsidRDefault="00B36330" w:rsidP="00B36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LÓPEZ AUSTIN, A., 1970, “Religión y magia en el ciclo de las fiestas aztecas”, en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Religión, mitología y magia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vol. II. México: Museo Nacional de Antropología, pp. 3-29.</w:t>
            </w:r>
          </w:p>
          <w:p w:rsidR="00B36330" w:rsidRPr="00E631F7" w:rsidRDefault="00B36330" w:rsidP="00B36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36330" w:rsidRPr="00E631F7" w:rsidRDefault="00B36330" w:rsidP="00B363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________________, 2006, “Ofrenda y comunicación en la tradición religiosa mesoamericana”,</w:t>
            </w:r>
            <w:r w:rsidR="00E12536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en X. Noguez y A. López Austin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De hombres y dioses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El Colegio de Michoacán,</w:t>
            </w:r>
            <w:r w:rsidR="00E12536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El Colegio Mexiquense, pp. 179-192.</w:t>
            </w:r>
          </w:p>
          <w:p w:rsidR="00B36330" w:rsidRPr="00E631F7" w:rsidRDefault="00B36330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352512" w:rsidRPr="00E631F7" w:rsidRDefault="00352512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LÓPEZ AUSTIN, A. y L. LÓPEZ LUJÁN, 1991, “El Templo Mayor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Tenochtitlan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el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Tonacatépetl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el mito del robo del maíz”, en M. T. Uriarte y L.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Staines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Cicero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Acercarse y</w:t>
            </w:r>
            <w:r w:rsidR="005103B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mirar. Homenaje a Beatriz de la Fuente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Universidad Nacional Autónoma de México,</w:t>
            </w:r>
            <w:r w:rsidR="005103B4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Instituto de Investigaciones Estéticas, pp. 403-455.</w:t>
            </w:r>
          </w:p>
          <w:p w:rsidR="00B36330" w:rsidRPr="00E631F7" w:rsidRDefault="00B36330" w:rsidP="003525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36330" w:rsidRPr="00E631F7" w:rsidRDefault="00A306D0" w:rsidP="00A306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_____________________________________, 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2011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“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El </w:t>
            </w:r>
            <w:proofErr w:type="spellStart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coatepantli</w:t>
            </w:r>
            <w:proofErr w:type="spellEnd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Tenochtitlan</w:t>
            </w:r>
            <w:proofErr w:type="spellEnd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Historia de un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malentendido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r w:rsidR="00B36330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Arqueología Mexicana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vol. XIX, 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111, pp. 64-71.</w:t>
            </w:r>
          </w:p>
          <w:p w:rsidR="00352512" w:rsidRPr="00E631F7" w:rsidRDefault="00352512" w:rsidP="00A306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36330" w:rsidRPr="00E631F7" w:rsidRDefault="00A306D0" w:rsidP="00A306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LÓPEZ LUJÁN, L., X. CHÁVEZ BALDERAS, N. VALENTÍN y A. MONTÚFAR, 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2010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“</w:t>
            </w:r>
            <w:proofErr w:type="spellStart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Huitzilopochtli</w:t>
            </w:r>
            <w:proofErr w:type="spellEnd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el sacrificio de niños en el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Templo Mayor de </w:t>
            </w:r>
            <w:proofErr w:type="spellStart"/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Tenochtitlan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”, en L. López Luján y</w:t>
            </w:r>
            <w:r w:rsidR="00CC1F1D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G. Olivier (ed.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), </w:t>
            </w:r>
            <w:r w:rsidR="00B36330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El sacrificio humano en la tradición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="00B36330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religiosa mesoamericana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</w:t>
            </w:r>
            <w:r w:rsidR="00B36330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INAH,</w:t>
            </w:r>
            <w:r w:rsidR="00CC1F1D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UNAM, pp. 367-394.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MAZZETTO, E., 2013, “La comida ritual en las fiestas de las veintenas mexicas. Un acercamiento a su tipología y simbolismo”,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Cahiers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ALHIM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25 [En línea].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_____________, 2014, “Las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Ayauhcalli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en el ciclo de las veintenas del año solar. Funciones y</w:t>
            </w:r>
            <w:r w:rsidR="00DE4DB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ubicación de las casas de niebla y sus relaciones con la liturgia del maíz”,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</w:t>
            </w:r>
            <w:r w:rsidR="00DE4DBB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48, pp. 135-175.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_____________, 2014,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Lieux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culte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parcours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cérémoniels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dans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les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fêtes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vingtaines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à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Mexico-Tenochtitlan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Oxford: British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Archaeological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Reports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MENDIETA, G. (de), 1971,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Historia Eclesiástica Indiana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Porrúa: México.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MOLINA, A. (de), 1970,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Vocabulario en lengua castellana y mexicana y mexicana y castellana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Porrúa.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MOTOLINÍA O BENAVENTE, T. (de), 1971,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Memoriales o libro de las cosas de la Nueva España y de los naturales de ella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E.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O’Gorman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éd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). México: UNAM.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_____________________________, 1985</w:t>
            </w:r>
            <w:r w:rsidR="00A252F1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Historia de los Indios de la Nueva España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G.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Baudot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(ed.).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Madrid: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Clásicos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Castalia.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NICHOLSON, H. B., 1964-1984, “Religion in pre-Hispanic Central México”, en R.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Wauchope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Handbook of Middle American Indians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Archaeology of Northern Mesoamerica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 Austin: University of Texas Press, v. 10, pp. 395-446.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________________, 2002, “Representing the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Veintena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Ceremonies in the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Primeros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Memoriales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”, en E.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Quiñones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lastRenderedPageBreak/>
              <w:t>Keber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Representing Aztec Ritual: Performance, Text and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Image in the Work of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Sahagún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Boulder: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University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Press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of Colorado, pp. 63-106.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OLIVIER, G., 2004,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Tezcatlipoca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. Burlas y metamorfosis de un dios azteca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FCE.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__________, 2015,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Cacería, sacrificio y poder en Mesoamérica. Tras las huellas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Mixcóatl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, “Serpiente de Nube”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FCE, UNAM.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ORTIZ DE MONTELLANO, B., 1980, “Las hierbas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Tláloc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14, pp. 287-314.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POMAR, J. B., 1941,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Relación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Tezcoco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México: Editorial Salvador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Chavez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Hayhoe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PREM, H. J. 1991 “Los calendarios prehispánicos y sus correlaciones (problemas históricos y técnicos)”, en J. Broda, 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Iwaniszewski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L.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Maupomé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Arqueoastronomía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y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Etnoastronomía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enMesoamérica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México: IIH, UNAM, pp. 389-411.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PREUSS, K. T., 1930,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Mexikanische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Religion.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Bilderatlas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zur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Religionsgeschichte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16. Leipzig: A.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Deicher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PROENZA, M. T., 1993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La fiesta prehispánica: un espectáculo teatral. Comparación de las descripciones de cuatro fiestas hechas por Sahagún y Durán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Instituto Nacional de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Bellas Artes.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______________, 2011,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Teatralidad y poder en el México antiguo. La fiesta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Toxcatl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celebrada por los mexicas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INAH.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RELACIONES GEOGRÁFICAS DEL SIGLO XVI: MÉXICO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1985-1986, R. Acuña (ed.), 3 vols. México: UNAM, IIA.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RÉVILLE, A., 1885,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Les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Mexique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,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l'Amérique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Centrale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Pérou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París: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Histoire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Religions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2.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RODRÍGUEZ FIGUEROA, A. B., 2010,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Paisaje e imaginario colectivo del altiplano central mesoamericano: el paisaje ritual en </w:t>
            </w:r>
            <w:proofErr w:type="spellStart"/>
            <w:r w:rsidRPr="00E631F7">
              <w:rPr>
                <w:rFonts w:ascii="Arial" w:eastAsia="Calibri" w:hAnsi="Arial" w:cs="Arial"/>
                <w:i/>
                <w:iCs/>
                <w:sz w:val="16"/>
                <w:szCs w:val="16"/>
                <w:lang w:val="es-ES" w:eastAsia="it-IT"/>
              </w:rPr>
              <w:t>Ā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tl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</w:t>
            </w:r>
            <w:r w:rsidRPr="00E631F7">
              <w:rPr>
                <w:rFonts w:ascii="Arial" w:eastAsia="Calibri" w:hAnsi="Arial" w:cs="Arial"/>
                <w:i/>
                <w:iCs/>
                <w:sz w:val="16"/>
                <w:szCs w:val="16"/>
                <w:lang w:val="es-ES" w:eastAsia="it-IT"/>
              </w:rPr>
              <w:t>ā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hualo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o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Cuahuitl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eastAsia="Calibri" w:hAnsi="Arial" w:cs="Arial"/>
                <w:i/>
                <w:iCs/>
                <w:sz w:val="16"/>
                <w:szCs w:val="16"/>
                <w:lang w:val="es-ES" w:eastAsia="it-IT"/>
              </w:rPr>
              <w:t>Ē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hua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según las fuentes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sahaguntinas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Tesis de Maestría en Estudios Mesoamericanos, México, UNAM.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_____________________, 2014,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El paisaje festivo en el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Cecempohuallapohualli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la Cuenca de México del siglo XVI, según las fuentes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sahaguntinas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tesis de doctorado en Estudios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Mesoamericanos, México, UNAM.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RUÍZ DE ALARCÓN, H., 1953,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Tratato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las idolatrías, supersticiones, dioses, ritos, hechicerías y otras costumbres gentílicas de las razas aborígenes de México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México: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Fuente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Cultural.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SAHAGÚN, B. (de), 1950-1982,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Florentine Codex: General History of the Things of New Spain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12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vols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trad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 C. E. Dibble &amp; J. O. Anderson. Santa Fe: The School of American Research, University of Utah.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_______________, 1989,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Historia general de las cosas de Nueva España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2 vols., A. López Austin et J. García Quintana (ed.). México: CONACULTA, Alianza Editorial Mexicana.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_______________,1997,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Primeros memoriales.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Paleography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of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Nahuatl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Text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and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English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Translation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Norman: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The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University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of Oklahoma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Press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SELER, E., 1899, “Die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achtzehn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Jahresfeste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der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Mexikaner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(1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Hälfte</w:t>
            </w:r>
            <w:proofErr w:type="spellEnd"/>
            <w:proofErr w:type="gram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)“</w:t>
            </w:r>
            <w:proofErr w:type="gram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Altmexikanische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Studien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2,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VKMV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6, pp. 58-66.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_________, 1902-1923,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Gesammelte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Abhandlungen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zur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Amerikanischen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Sprach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-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und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Altertumskunde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5 vols.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Berlin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Asher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und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Co.</w:t>
            </w:r>
            <w:proofErr w:type="spellEnd"/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ŠPRÁJC, I., 2000, “Problema de ajustes del año calendárico mesoamericano al año trópico”,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Anales de Antropología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34, pp. 133-160.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TENA, R., 1992,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El calendario mexica y la cronografía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INAH, Colección Científica.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TEZOZOMOC, H. A., 2001,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Crónica mexicana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G. Díaz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Migoyo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G. Vázquez Chamorro (ed.).</w:t>
            </w:r>
            <w:r w:rsidR="00A252F1"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Madrid: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Dastin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TICHY, F., 1990, “Orientation Calendar in Mesoamerica: Hypothesis Concerning their structure, use and distribution”,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Estudios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Cultura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Náhuatl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 n. 20, pp. 183-199.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VELASCO LOZANO, A.M., 2001, “Los cuerpos divinos: utilización del amaranto en el ritual mexica”, en Y. González Torres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Animales y plantas en la cosmovisión mesoamericana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 México: CONACULTA, INAH, pp. 39-63.</w:t>
            </w:r>
          </w:p>
          <w:p w:rsidR="00BF4A83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763116" w:rsidRPr="00E631F7" w:rsidRDefault="00BF4A83" w:rsidP="00BF4A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VIÉ-WORHER, A-M., 1999,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Xipe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Totec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notre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seigneur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l’écorché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: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étude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glyphique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d’un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dieu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aztèque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2 vols. México: CEMCA.</w:t>
            </w:r>
          </w:p>
          <w:p w:rsidR="00E74B04" w:rsidRPr="006078FC" w:rsidRDefault="00E74B04" w:rsidP="00E74B04">
            <w:pPr>
              <w:pStyle w:val="Listecouleur-Accent11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4B04" w:rsidRPr="00E631F7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6078FC" w:rsidRDefault="00E74B04" w:rsidP="00352512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6078FC">
              <w:rPr>
                <w:rFonts w:ascii="Arial" w:hAnsi="Arial" w:cs="Arial"/>
                <w:b/>
                <w:sz w:val="20"/>
                <w:lang w:val="es-ES"/>
              </w:rPr>
              <w:lastRenderedPageBreak/>
              <w:t>Bibliografía complementaria:</w:t>
            </w:r>
          </w:p>
          <w:p w:rsidR="000F1FAE" w:rsidRPr="006078FC" w:rsidRDefault="000F1FAE" w:rsidP="00352512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ACUÑA, R., 1976, “Calendarios antiguos del Altiplano de México y su correlación con los calendarios mayas”,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12, pp. 279-314.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BATALLA ROSADO, J. J., 2011, “El Códice Borbónico: reflexiones sobre la problemática relativa a su confección y contenido”, en 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Peperstraete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N.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Ragot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G. Olivier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La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quête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serpent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à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plumes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Arts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l’Amérique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précolombienne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Hommage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à Michel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Graulich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Turnhout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Brepols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Publishers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Bibliothèque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l’École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Pratique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Hautes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Études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–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Sciences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religieuses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pp. 197-211.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BAUDEZ, J. C., 2011, “La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danse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l’éraflure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tlahuauanaliztli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)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ou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la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réconciliation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antagonismes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en 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Peperstraete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N.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Ragot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G. Olivier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La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quête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serpent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à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plumes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.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Arts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l’Amérique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précolombienne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Hommage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à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Michel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Graulich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Turnhout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Brepols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Publishers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Bibliothèque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l’École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Pratique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Hautes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Études–Sciences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religieuses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pp. 137-145.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BOTTA, S., 2004,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Le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acque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preziose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Saggio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sui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sistemi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religiosi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mesoamericani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Roma: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Bulzoni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BOTTA, S., 2009, “De la tierra al territorio. Límites interpretativos del naturismo y aspectos políticos del culto a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Tláloc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40, pp. 176-199.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BRYLAK, A., 2011, “Rivalidad y ritual: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Agon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en la religión nahua”, en K.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Mikulska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Dąbrowska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J.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Contel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De dioses y hombres. Creencias y rituales mesoamericanos y sus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supervivencias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Encuentros, vol. V. Varsovia: Universidad de Varsovia, Instituto de Estudios Ibéricos e Iberoamericanos,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Université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Toulouse,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Institut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Recherches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Intersites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Études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Culturelles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pp. 121-145.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CONTEL, J., 2008, “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Tlalloc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el cerro, la olla y el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chalchihuitl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Una interpretación de la lámina 25 del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Códice Borbónico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Itinerarios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8, pp. 153-183.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DEHOUVE, D., 2009, “El lenguaje ritual de los mexicas: hacia un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metodo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análisis”, en 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Peperstraete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(ed.),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Image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and Ritual in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the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Aztec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World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Oxford: British Archaeological Reports,</w:t>
            </w:r>
            <w:r w:rsidR="004D40CC"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pp. 19-33.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DIBBLE, C. E., 1980, “The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Xalaquia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Ceremony”,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Estudios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Cultura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Náhuatl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, n. 14, pp. 197- 202.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JOHANSSON, P., 2005, “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Cempoallapohualli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.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La ‘crono-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logía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’ de las veintenas en el calendario solar náhuatl”,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Estudios de Cultura Náhuatl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 n. 36, pp. 149-184.</w:t>
            </w: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" w:eastAsia="it-IT"/>
              </w:rPr>
            </w:pPr>
          </w:p>
          <w:p w:rsidR="000F1FAE" w:rsidRPr="00E631F7" w:rsidRDefault="000F1FAE" w:rsidP="000F1F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RAGOT, N., 2011, “Ad Memoriam.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Cérémonies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post-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funéraires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hommages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aux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>défunts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chez</w:t>
            </w:r>
          </w:p>
          <w:p w:rsidR="000F1FAE" w:rsidRPr="00E631F7" w:rsidRDefault="000F1FAE" w:rsidP="004D40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</w:pPr>
            <w:proofErr w:type="gram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les</w:t>
            </w:r>
            <w:proofErr w:type="gram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Aztèques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”, en S.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Peperstraete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N.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Ragot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y G. Olivier (ed.),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La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quête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du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serpent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à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plumes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Arts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et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religions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l’Amérique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précolombienne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Hommage</w:t>
            </w:r>
            <w:proofErr w:type="spellEnd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à </w:t>
            </w:r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Michel </w:t>
            </w:r>
            <w:proofErr w:type="spellStart"/>
            <w:r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>Graulich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.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Turnhout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:</w:t>
            </w:r>
            <w:r w:rsidR="004D40CC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Brepols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Publishers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,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Bibliothèque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l’École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Pratique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des Hautes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Études–Sciences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 xml:space="preserve"> </w:t>
            </w:r>
            <w:proofErr w:type="spellStart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religieuses</w:t>
            </w:r>
            <w:proofErr w:type="spellEnd"/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,</w:t>
            </w:r>
            <w:r w:rsidR="004D40CC" w:rsidRPr="00E631F7">
              <w:rPr>
                <w:rFonts w:ascii="Arial" w:hAnsi="Arial" w:cs="Arial"/>
                <w:i/>
                <w:iCs/>
                <w:sz w:val="16"/>
                <w:szCs w:val="16"/>
                <w:lang w:val="es-ES" w:eastAsia="it-IT"/>
              </w:rPr>
              <w:t xml:space="preserve"> </w:t>
            </w:r>
            <w:r w:rsidRPr="00E631F7">
              <w:rPr>
                <w:rFonts w:ascii="Arial" w:hAnsi="Arial" w:cs="Arial"/>
                <w:sz w:val="16"/>
                <w:szCs w:val="16"/>
                <w:lang w:val="es-ES" w:eastAsia="it-IT"/>
              </w:rPr>
              <w:t>pp. 157-173.</w:t>
            </w:r>
          </w:p>
          <w:p w:rsidR="00E74B04" w:rsidRPr="006078FC" w:rsidRDefault="00E74B04" w:rsidP="006078FC">
            <w:pPr>
              <w:ind w:right="-57"/>
              <w:jc w:val="both"/>
              <w:rPr>
                <w:rFonts w:ascii="Arial" w:hAnsi="Arial" w:cs="Arial"/>
                <w:b/>
                <w:color w:val="FF0000"/>
                <w:sz w:val="20"/>
                <w:lang w:val="es-ES"/>
              </w:rPr>
            </w:pPr>
          </w:p>
        </w:tc>
      </w:tr>
      <w:tr w:rsidR="00E74B04" w:rsidRPr="00B048B8" w:rsidTr="00E74B04">
        <w:trPr>
          <w:trHeight w:val="1049"/>
          <w:jc w:val="center"/>
        </w:trPr>
        <w:tc>
          <w:tcPr>
            <w:tcW w:w="4140" w:type="dxa"/>
          </w:tcPr>
          <w:p w:rsidR="00E74B04" w:rsidRPr="00B048B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Sugerencias didácticas:</w:t>
            </w:r>
            <w:r w:rsidR="006A46D8" w:rsidRPr="00B048B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ES"/>
              </w:rPr>
              <w:t xml:space="preserve"> 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Exposición oral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Exposición audiovisual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Ejercicios dentro de clase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Ejercicios fuera del aula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()</w:t>
            </w:r>
          </w:p>
          <w:p w:rsidR="00E74B04" w:rsidRPr="00B048B8" w:rsidRDefault="000A7717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Seminarios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(</w:t>
            </w:r>
            <w:r w:rsidR="00E74B04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Lecturas obligatorias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               </w:t>
            </w:r>
            <w:r w:rsidR="006A46D8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Trabajo de investigación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Prácticas de taller o laboratorio               </w:t>
            </w:r>
            <w:r w:rsidR="006A46D8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()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Prácticas de campo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       (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Otras: ____________________                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(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500" w:type="dxa"/>
          </w:tcPr>
          <w:p w:rsidR="00E74B04" w:rsidRPr="00B048B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Mecanismos de evaluación del aprendizaje de los alumnos:</w:t>
            </w:r>
            <w:r w:rsidR="006A46D8" w:rsidRPr="00B048B8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Exámenes parciales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   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(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Examen final escrito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    ()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Trabajos y tareas fu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era del aula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    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Exposición de seminarios por los alumnos   </w:t>
            </w:r>
            <w:r w:rsidR="00113C42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Participación en clase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    </w:t>
            </w:r>
            <w:r w:rsidR="00113C42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       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Asistencia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ab/>
              <w:t xml:space="preserve">                                                      (</w:t>
            </w:r>
            <w:r w:rsidR="000F1FAE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x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Seminario                          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                   (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Otras:                                </w:t>
            </w:r>
            <w:r w:rsidR="000A7717"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                            (</w:t>
            </w:r>
            <w:r w:rsidRPr="00B048B8">
              <w:rPr>
                <w:rFonts w:ascii="Arial Narrow" w:hAnsi="Arial Narrow" w:cs="Arial"/>
                <w:sz w:val="18"/>
                <w:szCs w:val="18"/>
                <w:lang w:val="es-ES"/>
              </w:rPr>
              <w:t>)</w:t>
            </w:r>
          </w:p>
          <w:p w:rsidR="00E74B04" w:rsidRPr="00B048B8" w:rsidRDefault="00E74B04" w:rsidP="00E74B04">
            <w:pPr>
              <w:rPr>
                <w:rFonts w:ascii="Arial Narrow" w:hAnsi="Arial Narrow" w:cs="Arial"/>
                <w:sz w:val="20"/>
                <w:lang w:val="es-ES"/>
              </w:rPr>
            </w:pPr>
          </w:p>
        </w:tc>
      </w:tr>
    </w:tbl>
    <w:p w:rsidR="00E74B04" w:rsidRPr="00B048B8" w:rsidRDefault="00E74B04" w:rsidP="00763116">
      <w:pPr>
        <w:rPr>
          <w:rFonts w:ascii="Arial Narrow" w:hAnsi="Arial Narrow"/>
          <w:b/>
          <w:sz w:val="20"/>
          <w:u w:val="single"/>
          <w:lang w:val="es-ES"/>
        </w:rPr>
      </w:pPr>
    </w:p>
    <w:sectPr w:rsidR="00E74B04" w:rsidRPr="00B048B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B6" w:rsidRDefault="000730B6" w:rsidP="00E74B04">
      <w:r>
        <w:separator/>
      </w:r>
    </w:p>
  </w:endnote>
  <w:endnote w:type="continuationSeparator" w:id="0">
    <w:p w:rsidR="000730B6" w:rsidRDefault="000730B6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B8" w:rsidRDefault="00DB668C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F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6FB8" w:rsidRDefault="00176FB8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B8" w:rsidRDefault="00DB668C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6F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6C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6FB8" w:rsidRDefault="00176FB8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B6" w:rsidRDefault="000730B6" w:rsidP="00E74B04">
      <w:r>
        <w:separator/>
      </w:r>
    </w:p>
  </w:footnote>
  <w:footnote w:type="continuationSeparator" w:id="0">
    <w:p w:rsidR="000730B6" w:rsidRDefault="000730B6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36C23"/>
    <w:multiLevelType w:val="hybridMultilevel"/>
    <w:tmpl w:val="13D427E0"/>
    <w:lvl w:ilvl="0" w:tplc="BC8839A6"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1F233D34"/>
    <w:multiLevelType w:val="hybridMultilevel"/>
    <w:tmpl w:val="6F5EC95E"/>
    <w:lvl w:ilvl="0" w:tplc="2EE45056"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B05080"/>
    <w:multiLevelType w:val="hybridMultilevel"/>
    <w:tmpl w:val="88B03044"/>
    <w:lvl w:ilvl="0" w:tplc="A02405B6"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26CE"/>
    <w:multiLevelType w:val="hybridMultilevel"/>
    <w:tmpl w:val="CECAA850"/>
    <w:lvl w:ilvl="0" w:tplc="4CC221C4"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D8A0C99"/>
    <w:multiLevelType w:val="hybridMultilevel"/>
    <w:tmpl w:val="EA5C7B5E"/>
    <w:lvl w:ilvl="0" w:tplc="D2103B14"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4983388"/>
    <w:multiLevelType w:val="hybridMultilevel"/>
    <w:tmpl w:val="1DB2BFF2"/>
    <w:lvl w:ilvl="0" w:tplc="73B45D7E">
      <w:numFmt w:val="bullet"/>
      <w:lvlText w:val="-"/>
      <w:lvlJc w:val="left"/>
      <w:pPr>
        <w:ind w:left="720" w:hanging="360"/>
      </w:pPr>
      <w:rPr>
        <w:rFonts w:ascii="Arial Narrow" w:eastAsia="Helvetic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39"/>
  </w:num>
  <w:num w:numId="4">
    <w:abstractNumId w:val="18"/>
  </w:num>
  <w:num w:numId="5">
    <w:abstractNumId w:val="46"/>
  </w:num>
  <w:num w:numId="6">
    <w:abstractNumId w:val="47"/>
  </w:num>
  <w:num w:numId="7">
    <w:abstractNumId w:val="29"/>
  </w:num>
  <w:num w:numId="8">
    <w:abstractNumId w:val="9"/>
  </w:num>
  <w:num w:numId="9">
    <w:abstractNumId w:val="35"/>
  </w:num>
  <w:num w:numId="10">
    <w:abstractNumId w:val="23"/>
  </w:num>
  <w:num w:numId="11">
    <w:abstractNumId w:val="12"/>
  </w:num>
  <w:num w:numId="12">
    <w:abstractNumId w:val="27"/>
  </w:num>
  <w:num w:numId="13">
    <w:abstractNumId w:val="25"/>
  </w:num>
  <w:num w:numId="14">
    <w:abstractNumId w:val="43"/>
  </w:num>
  <w:num w:numId="15">
    <w:abstractNumId w:val="38"/>
  </w:num>
  <w:num w:numId="16">
    <w:abstractNumId w:val="36"/>
  </w:num>
  <w:num w:numId="17">
    <w:abstractNumId w:val="42"/>
  </w:num>
  <w:num w:numId="18">
    <w:abstractNumId w:val="13"/>
  </w:num>
  <w:num w:numId="19">
    <w:abstractNumId w:val="2"/>
  </w:num>
  <w:num w:numId="20">
    <w:abstractNumId w:val="40"/>
  </w:num>
  <w:num w:numId="21">
    <w:abstractNumId w:val="19"/>
  </w:num>
  <w:num w:numId="22">
    <w:abstractNumId w:val="26"/>
  </w:num>
  <w:num w:numId="23">
    <w:abstractNumId w:val="0"/>
  </w:num>
  <w:num w:numId="24">
    <w:abstractNumId w:val="16"/>
  </w:num>
  <w:num w:numId="25">
    <w:abstractNumId w:val="28"/>
  </w:num>
  <w:num w:numId="26">
    <w:abstractNumId w:val="31"/>
  </w:num>
  <w:num w:numId="27">
    <w:abstractNumId w:val="44"/>
  </w:num>
  <w:num w:numId="28">
    <w:abstractNumId w:val="37"/>
  </w:num>
  <w:num w:numId="29">
    <w:abstractNumId w:val="3"/>
  </w:num>
  <w:num w:numId="30">
    <w:abstractNumId w:val="8"/>
  </w:num>
  <w:num w:numId="31">
    <w:abstractNumId w:val="32"/>
  </w:num>
  <w:num w:numId="32">
    <w:abstractNumId w:val="24"/>
  </w:num>
  <w:num w:numId="33">
    <w:abstractNumId w:val="11"/>
  </w:num>
  <w:num w:numId="34">
    <w:abstractNumId w:val="33"/>
  </w:num>
  <w:num w:numId="35">
    <w:abstractNumId w:val="17"/>
  </w:num>
  <w:num w:numId="36">
    <w:abstractNumId w:val="15"/>
  </w:num>
  <w:num w:numId="37">
    <w:abstractNumId w:val="20"/>
  </w:num>
  <w:num w:numId="38">
    <w:abstractNumId w:val="14"/>
  </w:num>
  <w:num w:numId="39">
    <w:abstractNumId w:val="30"/>
  </w:num>
  <w:num w:numId="40">
    <w:abstractNumId w:val="4"/>
  </w:num>
  <w:num w:numId="41">
    <w:abstractNumId w:val="5"/>
  </w:num>
  <w:num w:numId="42">
    <w:abstractNumId w:val="1"/>
  </w:num>
  <w:num w:numId="43">
    <w:abstractNumId w:val="7"/>
  </w:num>
  <w:num w:numId="44">
    <w:abstractNumId w:val="41"/>
  </w:num>
  <w:num w:numId="45">
    <w:abstractNumId w:val="21"/>
  </w:num>
  <w:num w:numId="46">
    <w:abstractNumId w:val="45"/>
  </w:num>
  <w:num w:numId="47">
    <w:abstractNumId w:val="1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477B"/>
    <w:rsid w:val="00013BFD"/>
    <w:rsid w:val="0005477B"/>
    <w:rsid w:val="00065A56"/>
    <w:rsid w:val="000730B6"/>
    <w:rsid w:val="00077A20"/>
    <w:rsid w:val="000914E3"/>
    <w:rsid w:val="00097A78"/>
    <w:rsid w:val="000A29D6"/>
    <w:rsid w:val="000A7717"/>
    <w:rsid w:val="000D546C"/>
    <w:rsid w:val="000F1FAE"/>
    <w:rsid w:val="00113C42"/>
    <w:rsid w:val="00176FB8"/>
    <w:rsid w:val="00180460"/>
    <w:rsid w:val="001870F2"/>
    <w:rsid w:val="001A0600"/>
    <w:rsid w:val="001C031F"/>
    <w:rsid w:val="001D65E5"/>
    <w:rsid w:val="001E3960"/>
    <w:rsid w:val="002219C7"/>
    <w:rsid w:val="00247EEB"/>
    <w:rsid w:val="00265A15"/>
    <w:rsid w:val="0026676A"/>
    <w:rsid w:val="002752D6"/>
    <w:rsid w:val="002A4774"/>
    <w:rsid w:val="002E2054"/>
    <w:rsid w:val="00352512"/>
    <w:rsid w:val="00374836"/>
    <w:rsid w:val="0037559F"/>
    <w:rsid w:val="00397960"/>
    <w:rsid w:val="003A124E"/>
    <w:rsid w:val="003A5D8F"/>
    <w:rsid w:val="003B38B1"/>
    <w:rsid w:val="003D5376"/>
    <w:rsid w:val="003F0ADC"/>
    <w:rsid w:val="004160C3"/>
    <w:rsid w:val="004375FE"/>
    <w:rsid w:val="00454D04"/>
    <w:rsid w:val="00484BCD"/>
    <w:rsid w:val="004D40CC"/>
    <w:rsid w:val="004D42B9"/>
    <w:rsid w:val="004E54E3"/>
    <w:rsid w:val="004F2213"/>
    <w:rsid w:val="005103B4"/>
    <w:rsid w:val="00534278"/>
    <w:rsid w:val="00593255"/>
    <w:rsid w:val="005951B9"/>
    <w:rsid w:val="005F6C8D"/>
    <w:rsid w:val="00603682"/>
    <w:rsid w:val="006078FC"/>
    <w:rsid w:val="0062703F"/>
    <w:rsid w:val="00654B78"/>
    <w:rsid w:val="006738B0"/>
    <w:rsid w:val="0069230B"/>
    <w:rsid w:val="006A46D8"/>
    <w:rsid w:val="006D1FFD"/>
    <w:rsid w:val="006D7663"/>
    <w:rsid w:val="0072426D"/>
    <w:rsid w:val="00763116"/>
    <w:rsid w:val="007636B4"/>
    <w:rsid w:val="00794756"/>
    <w:rsid w:val="007F52BE"/>
    <w:rsid w:val="00805F2A"/>
    <w:rsid w:val="0081743F"/>
    <w:rsid w:val="008267FC"/>
    <w:rsid w:val="00846B51"/>
    <w:rsid w:val="008912EB"/>
    <w:rsid w:val="008A4CAB"/>
    <w:rsid w:val="008C1206"/>
    <w:rsid w:val="008E1BFC"/>
    <w:rsid w:val="0090540C"/>
    <w:rsid w:val="00911762"/>
    <w:rsid w:val="0092110D"/>
    <w:rsid w:val="00960701"/>
    <w:rsid w:val="009708A1"/>
    <w:rsid w:val="00985455"/>
    <w:rsid w:val="009A3FD0"/>
    <w:rsid w:val="009B43AF"/>
    <w:rsid w:val="00A134C6"/>
    <w:rsid w:val="00A252F1"/>
    <w:rsid w:val="00A306D0"/>
    <w:rsid w:val="00A60CF8"/>
    <w:rsid w:val="00AB45F0"/>
    <w:rsid w:val="00B048B8"/>
    <w:rsid w:val="00B04BB9"/>
    <w:rsid w:val="00B16DA6"/>
    <w:rsid w:val="00B20A30"/>
    <w:rsid w:val="00B36330"/>
    <w:rsid w:val="00B96137"/>
    <w:rsid w:val="00BA6A76"/>
    <w:rsid w:val="00BB0347"/>
    <w:rsid w:val="00BB5CFC"/>
    <w:rsid w:val="00BF4A83"/>
    <w:rsid w:val="00CC1F1D"/>
    <w:rsid w:val="00CC3F2D"/>
    <w:rsid w:val="00CC78B1"/>
    <w:rsid w:val="00D246AD"/>
    <w:rsid w:val="00D7608F"/>
    <w:rsid w:val="00DB668C"/>
    <w:rsid w:val="00DD2CCE"/>
    <w:rsid w:val="00DE4DBB"/>
    <w:rsid w:val="00E12536"/>
    <w:rsid w:val="00E631F7"/>
    <w:rsid w:val="00E74B04"/>
    <w:rsid w:val="00E91795"/>
    <w:rsid w:val="00EA7190"/>
    <w:rsid w:val="00ED6F8C"/>
    <w:rsid w:val="00EF7DAF"/>
    <w:rsid w:val="00F06C62"/>
    <w:rsid w:val="00F07AD4"/>
    <w:rsid w:val="00F12F54"/>
    <w:rsid w:val="00F13DE7"/>
    <w:rsid w:val="00F26C1E"/>
    <w:rsid w:val="00F35C50"/>
    <w:rsid w:val="00F95B95"/>
    <w:rsid w:val="00FB44FE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6B51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Tramecouleur-Accent11">
    <w:name w:val="Trame couleur - Accent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ision1">
    <w:name w:val="Révisio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ardeliste1">
    <w:name w:val="Par. de liste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Emphaseple1">
    <w:name w:val="Emphase pâle1"/>
    <w:rsid w:val="000546D0"/>
    <w:rPr>
      <w:rFonts w:cs="Times New Roman"/>
      <w:i/>
      <w:iCs/>
      <w:color w:val="808080"/>
    </w:rPr>
  </w:style>
  <w:style w:type="paragraph" w:customStyle="1" w:styleId="Sansinterligne1">
    <w:name w:val="Sans interligne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Corpsdetexte31">
    <w:name w:val="Corps de texte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3742</Words>
  <Characters>20585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5</cp:revision>
  <cp:lastPrinted>2011-08-11T11:16:00Z</cp:lastPrinted>
  <dcterms:created xsi:type="dcterms:W3CDTF">2016-12-01T17:31:00Z</dcterms:created>
  <dcterms:modified xsi:type="dcterms:W3CDTF">2016-12-01T20:14:00Z</dcterms:modified>
</cp:coreProperties>
</file>