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881C46" w:rsidRPr="000E1F51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/>
                <w:b/>
                <w:sz w:val="22"/>
                <w:lang w:val="es-ES_tradnl"/>
              </w:rPr>
              <w:cr/>
            </w:r>
            <w:r w:rsidRPr="000E1F51">
              <w:rPr>
                <w:noProof/>
                <w:lang w:val="es-ES_tradnl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noProof/>
                <w:lang w:val="es-ES_tradnl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UNIVERSIDAD NACIONAL AUTÓNOMA DE MÉXICO</w:t>
            </w:r>
          </w:p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PROGRAMA DE MAESTRIA Y DOCTORADO EN </w:t>
            </w:r>
          </w:p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ESTUDIOS MESOAMERICANOS</w:t>
            </w:r>
          </w:p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FACULTAD DE FILOSOFÍA Y LETRAS</w:t>
            </w:r>
          </w:p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INSTITUTO DE INVESTIGACIONES FILOLÓGICAS</w:t>
            </w:r>
          </w:p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Programa de actividad académica</w:t>
            </w:r>
          </w:p>
          <w:p w:rsidR="00881C46" w:rsidRPr="000E1F51" w:rsidRDefault="00881C46" w:rsidP="00881C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81C46" w:rsidRPr="000E1F51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81C46" w:rsidRPr="00FD43BF" w:rsidRDefault="00881C46" w:rsidP="00FD43BF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Denominación: </w:t>
            </w:r>
            <w:r w:rsidR="00FD43BF" w:rsidRPr="00FD43B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- Temas Selectos de Metodología</w:t>
            </w:r>
            <w:r w:rsidR="00FD43B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. </w:t>
            </w:r>
            <w:r w:rsidR="00FD43BF" w:rsidRPr="00FD43B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Fundamentos teóricos y metodológicos para la traducción II (Lengua de trabajo: náhuatl clásico)</w:t>
            </w:r>
          </w:p>
          <w:p w:rsidR="00FD43BF" w:rsidRPr="00FD43BF" w:rsidRDefault="00FD43BF" w:rsidP="00FD43B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881C46" w:rsidRPr="000E1F51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881C46" w:rsidRPr="000E1F51" w:rsidRDefault="00881C46" w:rsidP="00881C4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Clave: </w:t>
            </w:r>
          </w:p>
          <w:p w:rsidR="00881C46" w:rsidRPr="000E1F51" w:rsidRDefault="00FD43BF" w:rsidP="00881C4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67857</w:t>
            </w:r>
          </w:p>
          <w:p w:rsidR="00881C46" w:rsidRPr="000E1F51" w:rsidRDefault="00881C46" w:rsidP="00881C4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Semestre:</w:t>
            </w:r>
          </w:p>
          <w:p w:rsidR="00881C46" w:rsidRPr="000E1F51" w:rsidRDefault="00881C46" w:rsidP="00881C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81C46" w:rsidRPr="000E1F51" w:rsidRDefault="00881C46" w:rsidP="00881C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sz w:val="16"/>
                <w:szCs w:val="16"/>
                <w:lang w:val="es-ES_tradnl"/>
              </w:rPr>
              <w:t>2017-1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Campo de conocimiento:</w:t>
            </w:r>
            <w:r w:rsidR="00FD43B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Estudios mesoamericanos</w:t>
            </w:r>
          </w:p>
          <w:p w:rsidR="00881C46" w:rsidRPr="000E1F51" w:rsidRDefault="00881C46" w:rsidP="00881C4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No. de créditos:</w:t>
            </w:r>
            <w:r w:rsidR="00FD43B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8</w:t>
            </w: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881C46" w:rsidRPr="000E1F51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Horas al semestre</w:t>
            </w:r>
          </w:p>
        </w:tc>
      </w:tr>
      <w:tr w:rsidR="00881C46" w:rsidRPr="000E1F51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881C46" w:rsidRPr="000E1F51" w:rsidRDefault="00881C46" w:rsidP="00881C4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Tipo: </w:t>
            </w:r>
            <w:r w:rsidRPr="000E1F51">
              <w:rPr>
                <w:rFonts w:ascii="Arial" w:hAnsi="Arial" w:cs="Arial"/>
                <w:sz w:val="16"/>
                <w:szCs w:val="16"/>
                <w:lang w:val="es-ES_tradnl"/>
              </w:rPr>
              <w:t>Teórico – práctica</w:t>
            </w:r>
          </w:p>
        </w:tc>
        <w:tc>
          <w:tcPr>
            <w:tcW w:w="735" w:type="dxa"/>
            <w:shd w:val="clear" w:color="auto" w:fill="FFFFFF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881C46" w:rsidRPr="000E1F51" w:rsidRDefault="00881C46" w:rsidP="00881C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881C46" w:rsidRPr="000E1F51" w:rsidRDefault="00881C46" w:rsidP="00881C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sz w:val="16"/>
                <w:szCs w:val="16"/>
                <w:lang w:val="es-ES_tradnl"/>
              </w:rPr>
              <w:t>64</w:t>
            </w:r>
          </w:p>
        </w:tc>
      </w:tr>
      <w:tr w:rsidR="00881C46" w:rsidRPr="000E1F51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sz w:val="16"/>
                <w:szCs w:val="16"/>
                <w:lang w:val="es-ES_tradnl"/>
              </w:rPr>
              <w:t>32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sz w:val="16"/>
                <w:szCs w:val="16"/>
                <w:lang w:val="es-ES_tradnl"/>
              </w:rPr>
              <w:t>32</w:t>
            </w:r>
          </w:p>
        </w:tc>
        <w:tc>
          <w:tcPr>
            <w:tcW w:w="1271" w:type="dxa"/>
            <w:vMerge/>
            <w:shd w:val="clear" w:color="auto" w:fill="FFFFFF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81C46" w:rsidRPr="000E1F51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Modalidad: </w:t>
            </w:r>
            <w:r w:rsidRPr="000E1F51">
              <w:rPr>
                <w:rFonts w:ascii="Arial" w:hAnsi="Arial" w:cs="Arial"/>
                <w:sz w:val="16"/>
                <w:szCs w:val="16"/>
                <w:lang w:val="es-ES_tradnl"/>
              </w:rPr>
              <w:t>Seminario metodológico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881C46" w:rsidRPr="000E1F51" w:rsidRDefault="00881C46" w:rsidP="00FD43B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Duración del programa: </w:t>
            </w:r>
            <w:r w:rsidR="00FD43BF">
              <w:rPr>
                <w:rFonts w:ascii="Arial" w:hAnsi="Arial" w:cs="Arial"/>
                <w:sz w:val="16"/>
                <w:szCs w:val="16"/>
                <w:lang w:val="es-ES_tradnl"/>
              </w:rPr>
              <w:t>semestral</w:t>
            </w:r>
          </w:p>
        </w:tc>
      </w:tr>
    </w:tbl>
    <w:p w:rsidR="00881C46" w:rsidRPr="000E1F51" w:rsidRDefault="00881C46" w:rsidP="00881C46">
      <w:pPr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881C46" w:rsidRPr="000E1F51">
        <w:trPr>
          <w:trHeight w:val="240"/>
          <w:jc w:val="center"/>
        </w:trPr>
        <w:tc>
          <w:tcPr>
            <w:tcW w:w="8882" w:type="dxa"/>
          </w:tcPr>
          <w:p w:rsidR="00881C46" w:rsidRPr="000E1F51" w:rsidRDefault="00881C46" w:rsidP="00881C46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Seriación:       No (  )         Si ( X )         Obligatoria ( X )      Indicativa (  )</w:t>
            </w:r>
          </w:p>
          <w:p w:rsidR="00881C46" w:rsidRPr="000E1F51" w:rsidRDefault="00881C46" w:rsidP="00881C46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</w:pPr>
          </w:p>
          <w:p w:rsidR="00881C46" w:rsidRPr="000E1F51" w:rsidRDefault="00881C46" w:rsidP="00881C4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Actividad académica subsecuente: </w:t>
            </w:r>
          </w:p>
          <w:p w:rsidR="00881C46" w:rsidRPr="000E1F51" w:rsidRDefault="00881C46" w:rsidP="00881C4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81C46" w:rsidRPr="00FD43BF" w:rsidRDefault="00881C46" w:rsidP="00881C46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</w:pPr>
            <w:r w:rsidRPr="000E1F5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Actividad académica antecedente: </w:t>
            </w:r>
            <w:r w:rsidR="00FD43BF" w:rsidRPr="00FD43B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- Temas Selectos de Metodología</w:t>
            </w:r>
            <w:r w:rsidR="00FD43B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. </w:t>
            </w:r>
            <w:r w:rsidR="00FD43BF" w:rsidRPr="00FD43B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Fundamentos teóricos y metodológicos para la traducción II (Lengua de trabajo: náhuatl clásico)</w:t>
            </w:r>
          </w:p>
          <w:p w:rsidR="00881C46" w:rsidRPr="000E1F51" w:rsidRDefault="00881C46" w:rsidP="00881C46">
            <w:pPr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881C46" w:rsidRPr="000E1F51">
        <w:trPr>
          <w:trHeight w:val="375"/>
          <w:jc w:val="center"/>
        </w:trPr>
        <w:tc>
          <w:tcPr>
            <w:tcW w:w="8882" w:type="dxa"/>
          </w:tcPr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b/>
                <w:sz w:val="16"/>
                <w:szCs w:val="16"/>
                <w:lang w:val="es-ES_tradnl"/>
              </w:rPr>
              <w:t xml:space="preserve">Objetivos generales: </w:t>
            </w:r>
          </w:p>
          <w:p w:rsidR="00881C46" w:rsidRDefault="00881C46" w:rsidP="00881C46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ES_tradnl"/>
              </w:rPr>
            </w:pPr>
          </w:p>
          <w:p w:rsidR="00881C46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b/>
                <w:sz w:val="16"/>
                <w:szCs w:val="16"/>
                <w:lang w:val="es-ES_tradnl"/>
              </w:rPr>
              <w:t xml:space="preserve">- </w:t>
            </w:r>
            <w:r>
              <w:rPr>
                <w:rFonts w:cs="Arial"/>
                <w:sz w:val="16"/>
                <w:szCs w:val="16"/>
                <w:lang w:val="es-ES_tradnl"/>
              </w:rPr>
              <w:t>Proporcionar a los alumnos herramientas teóricas y metodológicas desarrolladas por la</w:t>
            </w:r>
            <w:r w:rsidRPr="000E1F51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ES_tradnl"/>
              </w:rPr>
              <w:t>traductología y los estudios de traducción que resultan útiles para la traducción de textos en lenguas indígenas.</w:t>
            </w:r>
          </w:p>
          <w:p w:rsidR="00881C46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</w:p>
          <w:p w:rsidR="00881C46" w:rsidRPr="003F1A60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- Acercar a los alumnos de manera progresiva a la práctica de la traducción, entendiéndola</w:t>
            </w:r>
            <w:r w:rsidRPr="000E1F51">
              <w:rPr>
                <w:rFonts w:cs="Arial"/>
                <w:sz w:val="16"/>
                <w:szCs w:val="16"/>
                <w:lang w:val="es-ES_tradnl"/>
              </w:rPr>
              <w:t xml:space="preserve"> como un proceso con</w:t>
            </w:r>
            <w:r>
              <w:rPr>
                <w:rFonts w:cs="Arial"/>
                <w:sz w:val="16"/>
                <w:szCs w:val="16"/>
                <w:lang w:val="es-ES_tradnl"/>
              </w:rPr>
              <w:t xml:space="preserve">ciente de toma de decisiones, que </w:t>
            </w:r>
            <w:r w:rsidRPr="000E1F51">
              <w:rPr>
                <w:rFonts w:cs="Arial"/>
                <w:sz w:val="16"/>
                <w:szCs w:val="16"/>
                <w:lang w:val="es-ES_tradnl"/>
              </w:rPr>
              <w:t>de</w:t>
            </w:r>
            <w:r>
              <w:rPr>
                <w:rFonts w:cs="Arial"/>
                <w:sz w:val="16"/>
                <w:szCs w:val="16"/>
                <w:lang w:val="es-ES_tradnl"/>
              </w:rPr>
              <w:t>ben</w:t>
            </w:r>
            <w:r w:rsidRPr="000E1F51">
              <w:rPr>
                <w:rFonts w:cs="Arial"/>
                <w:sz w:val="16"/>
                <w:szCs w:val="16"/>
                <w:lang w:val="es-ES_tradnl"/>
              </w:rPr>
              <w:t xml:space="preserve"> sustentarse</w:t>
            </w:r>
            <w:r>
              <w:rPr>
                <w:rFonts w:cs="Arial"/>
                <w:sz w:val="16"/>
                <w:szCs w:val="16"/>
                <w:lang w:val="es-ES_tradnl"/>
              </w:rPr>
              <w:t>, a su vez,</w:t>
            </w:r>
            <w:r w:rsidRPr="000E1F51">
              <w:rPr>
                <w:rFonts w:cs="Arial"/>
                <w:sz w:val="16"/>
                <w:szCs w:val="16"/>
                <w:lang w:val="es-ES_tradnl"/>
              </w:rPr>
              <w:t xml:space="preserve"> en procesos de investigación sobre aspectos de lingüística, análisis del discurso, teoría literaria e historia cultural.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b/>
                <w:color w:val="FF0000"/>
                <w:sz w:val="16"/>
                <w:szCs w:val="16"/>
                <w:lang w:val="es-ES_tradnl"/>
              </w:rPr>
            </w:pPr>
          </w:p>
        </w:tc>
      </w:tr>
      <w:tr w:rsidR="00881C46" w:rsidRPr="000E1F51">
        <w:trPr>
          <w:trHeight w:val="948"/>
          <w:jc w:val="center"/>
        </w:trPr>
        <w:tc>
          <w:tcPr>
            <w:tcW w:w="8882" w:type="dxa"/>
          </w:tcPr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b/>
                <w:sz w:val="16"/>
                <w:szCs w:val="16"/>
                <w:lang w:val="es-ES_tradnl"/>
              </w:rPr>
              <w:t>Objetivos específicos:</w:t>
            </w:r>
            <w:r w:rsidRPr="000E1F51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</w:p>
          <w:p w:rsidR="00881C46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>- Proporcionar al alumno herrami</w:t>
            </w:r>
            <w:r>
              <w:rPr>
                <w:rFonts w:cs="Arial"/>
                <w:sz w:val="16"/>
                <w:szCs w:val="16"/>
                <w:lang w:val="es-ES_tradnl"/>
              </w:rPr>
              <w:t>entas de carácter metodológico, derivadas de la teoría de la traducción,</w:t>
            </w:r>
            <w:r w:rsidRPr="000E1F51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ES_tradnl"/>
              </w:rPr>
              <w:t>que resultan útiles para abordar la traducción de textos en lenguas indígenas y, en particular, la traducción de textos en lengua náhuatl del periodo novohispano.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>- Proporcionar al alumno fundamentos de teoría de la traducción que le permitan plantear estrategias de traducción concientes en función de las exigencias de cada texto.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>- Capacitar al alumno en la identificación, clasificación y resolución de problemas de traducción, según el plano textual en el que incidan.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>- Familiarizar al alumno con las características y los problemas de traducción que presentan distintas tipologías textuales</w:t>
            </w:r>
            <w:r>
              <w:rPr>
                <w:rFonts w:cs="Arial"/>
                <w:sz w:val="16"/>
                <w:szCs w:val="16"/>
                <w:lang w:val="es-ES_tradnl"/>
              </w:rPr>
              <w:t>.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>- Capacitar al alumno en la elaboración de cotejos y comentarios a la traducción.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>- Desarrollar en el alumno un juicio crítico hacia la traducción propia y la ajena.</w:t>
            </w:r>
          </w:p>
          <w:p w:rsidR="00881C46" w:rsidRPr="000E1F51" w:rsidRDefault="00881C46" w:rsidP="00881C46">
            <w:pPr>
              <w:pStyle w:val="Textoindependiente"/>
              <w:jc w:val="both"/>
              <w:rPr>
                <w:rFonts w:cs="Arial"/>
                <w:b/>
                <w:color w:val="FF0000"/>
                <w:sz w:val="16"/>
                <w:szCs w:val="16"/>
                <w:lang w:val="es-ES_tradnl"/>
              </w:rPr>
            </w:pPr>
          </w:p>
        </w:tc>
      </w:tr>
      <w:tr w:rsidR="00881C46" w:rsidRPr="000E1F51">
        <w:trPr>
          <w:trHeight w:val="948"/>
          <w:jc w:val="center"/>
        </w:trPr>
        <w:tc>
          <w:tcPr>
            <w:tcW w:w="8882" w:type="dxa"/>
          </w:tcPr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b/>
                <w:sz w:val="16"/>
                <w:szCs w:val="16"/>
                <w:lang w:val="es-ES_tradnl"/>
              </w:rPr>
              <w:t>Metodología de trabajo: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ES_tradnl"/>
              </w:rPr>
            </w:pPr>
          </w:p>
          <w:p w:rsidR="00881C46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>- Cada sesión se dividirá en dos</w:t>
            </w:r>
            <w:r>
              <w:rPr>
                <w:rFonts w:cs="Arial"/>
                <w:sz w:val="16"/>
                <w:szCs w:val="16"/>
                <w:lang w:val="es-ES_tradnl"/>
              </w:rPr>
              <w:t xml:space="preserve"> partes. En la primera de ellas, la responsable de la asignatura expondrá los temas de carácter teórico y se discutirán en seminario textos de teoría de la traducción. En la segunda parte, </w:t>
            </w:r>
            <w:r w:rsidRPr="000E1F51">
              <w:rPr>
                <w:rFonts w:cs="Arial"/>
                <w:sz w:val="16"/>
                <w:szCs w:val="16"/>
                <w:lang w:val="es-ES_tradnl"/>
              </w:rPr>
              <w:t>se trabajará a modo de taller</w:t>
            </w:r>
            <w:r>
              <w:rPr>
                <w:rFonts w:cs="Arial"/>
                <w:sz w:val="16"/>
                <w:szCs w:val="16"/>
                <w:lang w:val="es-ES_tradnl"/>
              </w:rPr>
              <w:t xml:space="preserve"> y se aplicarán las herramientas metodológicas emanadas de la teoría de la traducción en el análisis y traducción de textos en lengua náhuatl. 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881C46" w:rsidRPr="000E1F51">
        <w:trPr>
          <w:trHeight w:val="948"/>
          <w:jc w:val="center"/>
        </w:trPr>
        <w:tc>
          <w:tcPr>
            <w:tcW w:w="8882" w:type="dxa"/>
          </w:tcPr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b/>
                <w:sz w:val="16"/>
                <w:szCs w:val="16"/>
                <w:lang w:val="es-ES_tradnl"/>
              </w:rPr>
              <w:lastRenderedPageBreak/>
              <w:t>Requisitos de ingreso: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 xml:space="preserve">- Contar </w:t>
            </w:r>
            <w:r>
              <w:rPr>
                <w:rFonts w:cs="Arial"/>
                <w:sz w:val="16"/>
                <w:szCs w:val="16"/>
                <w:lang w:val="es-ES_tradnl"/>
              </w:rPr>
              <w:t>con conocimientos avanzados de lengua n</w:t>
            </w:r>
            <w:r w:rsidRPr="000E1F51">
              <w:rPr>
                <w:rFonts w:cs="Arial"/>
                <w:sz w:val="16"/>
                <w:szCs w:val="16"/>
                <w:lang w:val="es-ES_tradnl"/>
              </w:rPr>
              <w:t>áhuatl clásica: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 xml:space="preserve">         - </w:t>
            </w:r>
            <w:r w:rsidR="00324525">
              <w:rPr>
                <w:rFonts w:cs="Arial"/>
                <w:sz w:val="16"/>
                <w:szCs w:val="16"/>
                <w:lang w:val="es-ES_tradnl"/>
              </w:rPr>
              <w:t>acreditar un examen diagnóstico de náhuatl clásico</w:t>
            </w:r>
          </w:p>
          <w:p w:rsidR="00881C46" w:rsidRPr="000E1F51" w:rsidRDefault="00881C46" w:rsidP="00881C46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0E1F51">
              <w:rPr>
                <w:rFonts w:cs="Arial"/>
                <w:sz w:val="16"/>
                <w:szCs w:val="16"/>
                <w:lang w:val="es-ES_tradnl"/>
              </w:rPr>
              <w:t>- Comprensión de lectura en inglés.</w:t>
            </w:r>
          </w:p>
        </w:tc>
      </w:tr>
    </w:tbl>
    <w:p w:rsidR="00881C46" w:rsidRDefault="00881C46" w:rsidP="00881C46">
      <w:pPr>
        <w:rPr>
          <w:rFonts w:ascii="Arial" w:hAnsi="Arial" w:cs="Arial"/>
          <w:sz w:val="16"/>
          <w:szCs w:val="16"/>
          <w:lang w:val="es-ES_tradnl" w:eastAsia="es-ES"/>
        </w:rPr>
      </w:pPr>
    </w:p>
    <w:p w:rsidR="00881C46" w:rsidRDefault="00881C46" w:rsidP="00881C46">
      <w:pPr>
        <w:rPr>
          <w:rFonts w:ascii="Arial" w:hAnsi="Arial" w:cs="Arial"/>
          <w:sz w:val="20"/>
          <w:lang w:val="es-ES_tradnl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881C46" w:rsidRPr="000E1F51">
        <w:trPr>
          <w:trHeight w:val="255"/>
          <w:jc w:val="center"/>
        </w:trPr>
        <w:tc>
          <w:tcPr>
            <w:tcW w:w="8640" w:type="dxa"/>
            <w:gridSpan w:val="5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20"/>
                <w:lang w:val="es-ES_tradnl"/>
              </w:rPr>
              <w:t>Índice temático</w:t>
            </w:r>
          </w:p>
        </w:tc>
      </w:tr>
      <w:tr w:rsidR="00881C46" w:rsidRPr="000E1F51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2o Semestre</w:t>
            </w:r>
          </w:p>
        </w:tc>
        <w:tc>
          <w:tcPr>
            <w:tcW w:w="5580" w:type="dxa"/>
            <w:vMerge w:val="restart"/>
            <w:vAlign w:val="center"/>
          </w:tcPr>
          <w:p w:rsidR="00881C46" w:rsidRDefault="00881C46" w:rsidP="00881C46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Parte teórica:</w:t>
            </w:r>
          </w:p>
          <w:p w:rsidR="00881C46" w:rsidRPr="003C4126" w:rsidRDefault="00881C46" w:rsidP="00881C46">
            <w:pPr>
              <w:rPr>
                <w:rFonts w:ascii="Arial Narrow" w:hAnsi="Arial Narrow" w:cs="Arial"/>
                <w:sz w:val="20"/>
                <w:lang w:val="es-ES_tradnl"/>
              </w:rPr>
            </w:pPr>
            <w:r w:rsidRPr="003C4126">
              <w:rPr>
                <w:rFonts w:ascii="Arial Narrow" w:hAnsi="Arial Narrow" w:cs="Arial"/>
                <w:sz w:val="20"/>
                <w:lang w:val="es-ES_tradnl"/>
              </w:rPr>
              <w:t>- La teoría de la traducción en la época moderna</w:t>
            </w:r>
          </w:p>
          <w:p w:rsidR="00881C46" w:rsidRDefault="00881C46" w:rsidP="00881C46">
            <w:pPr>
              <w:rPr>
                <w:rFonts w:ascii="Arial Narrow" w:hAnsi="Arial Narrow" w:cs="Arial"/>
                <w:sz w:val="20"/>
                <w:lang w:val="es-ES_tradnl"/>
              </w:rPr>
            </w:pPr>
            <w:r w:rsidRPr="003C4126">
              <w:rPr>
                <w:rFonts w:ascii="Arial Narrow" w:hAnsi="Arial Narrow" w:cs="Arial"/>
                <w:sz w:val="20"/>
                <w:lang w:val="es-ES_tradnl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  <w:r w:rsidRPr="003C4126">
              <w:rPr>
                <w:rFonts w:ascii="Arial Narrow" w:hAnsi="Arial Narrow" w:cs="Arial"/>
                <w:sz w:val="20"/>
                <w:lang w:val="es-ES_tradnl"/>
              </w:rPr>
              <w:t xml:space="preserve"> - L</w:t>
            </w:r>
            <w:r>
              <w:rPr>
                <w:rFonts w:ascii="Arial Narrow" w:hAnsi="Arial Narrow" w:cs="Arial"/>
                <w:sz w:val="20"/>
                <w:lang w:val="es-ES_tradnl"/>
              </w:rPr>
              <w:t>a traducción y el “giro cultural”</w:t>
            </w:r>
          </w:p>
          <w:p w:rsidR="00881C46" w:rsidRDefault="00881C46" w:rsidP="00881C46">
            <w:pPr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       - La traducción poscolonial</w:t>
            </w:r>
          </w:p>
          <w:p w:rsidR="00881C46" w:rsidRDefault="00881C46" w:rsidP="00881C46">
            <w:pPr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881C46" w:rsidRPr="003C4126" w:rsidRDefault="00881C46" w:rsidP="00881C46">
            <w:pPr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- Distintos enfoques para la traducción de textos en lenguas indígenas</w:t>
            </w:r>
          </w:p>
          <w:p w:rsidR="00881C46" w:rsidRDefault="00881C46" w:rsidP="00881C46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:rsidR="00881C46" w:rsidRDefault="00881C46" w:rsidP="00881C46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Parte práctica:</w:t>
            </w:r>
          </w:p>
          <w:p w:rsidR="00881C46" w:rsidRPr="0088714D" w:rsidRDefault="00881C46" w:rsidP="00881C46">
            <w:pPr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- Características y problemas de traducción que presentan diferentes tipologías textuales</w:t>
            </w:r>
          </w:p>
        </w:tc>
        <w:tc>
          <w:tcPr>
            <w:tcW w:w="2160" w:type="dxa"/>
            <w:gridSpan w:val="3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 </w:t>
            </w:r>
          </w:p>
        </w:tc>
      </w:tr>
      <w:tr w:rsidR="00881C46" w:rsidRPr="000E1F51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5580" w:type="dxa"/>
            <w:vMerge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20"/>
                <w:lang w:val="es-ES_tradnl"/>
              </w:rPr>
              <w:t>Teóricas</w:t>
            </w:r>
          </w:p>
        </w:tc>
        <w:tc>
          <w:tcPr>
            <w:tcW w:w="1071" w:type="dxa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20"/>
                <w:lang w:val="es-ES_tradnl"/>
              </w:rPr>
              <w:t>Prácticas</w:t>
            </w:r>
          </w:p>
        </w:tc>
      </w:tr>
      <w:tr w:rsidR="00881C46" w:rsidRPr="000E1F51">
        <w:trPr>
          <w:trHeight w:val="138"/>
          <w:jc w:val="center"/>
        </w:trPr>
        <w:tc>
          <w:tcPr>
            <w:tcW w:w="900" w:type="dxa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5580" w:type="dxa"/>
          </w:tcPr>
          <w:p w:rsidR="00881C46" w:rsidRPr="000E1F51" w:rsidRDefault="00881C46" w:rsidP="00881C46">
            <w:pPr>
              <w:jc w:val="both"/>
              <w:rPr>
                <w:rFonts w:ascii="Arial Narrow" w:hAnsi="Arial Narrow"/>
                <w:b/>
                <w:color w:val="FF0000"/>
                <w:sz w:val="20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881C46" w:rsidRPr="000E1F51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0E1F51" w:rsidRDefault="00881C46" w:rsidP="00881C46">
            <w:pPr>
              <w:jc w:val="right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20"/>
                <w:lang w:val="es-ES_tradnl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20"/>
                <w:lang w:val="es-ES_tradnl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20"/>
                <w:lang w:val="es-ES_tradnl"/>
              </w:rPr>
              <w:t>32</w:t>
            </w:r>
          </w:p>
        </w:tc>
      </w:tr>
      <w:tr w:rsidR="00881C46" w:rsidRPr="000E1F51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0E1F51" w:rsidRDefault="00881C46" w:rsidP="00881C46">
            <w:pPr>
              <w:jc w:val="right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20"/>
                <w:lang w:val="es-ES_tradnl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0E1F51" w:rsidRDefault="00881C46" w:rsidP="00881C46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20"/>
                <w:lang w:val="es-ES_tradnl"/>
              </w:rPr>
              <w:t>64</w:t>
            </w:r>
          </w:p>
        </w:tc>
      </w:tr>
    </w:tbl>
    <w:p w:rsidR="00881C46" w:rsidRDefault="00881C46" w:rsidP="00881C46">
      <w:pPr>
        <w:jc w:val="center"/>
        <w:rPr>
          <w:rFonts w:ascii="Arial" w:hAnsi="Arial" w:cs="Arial"/>
          <w:sz w:val="20"/>
          <w:lang w:val="es-ES_tradnl"/>
        </w:rPr>
      </w:pPr>
    </w:p>
    <w:p w:rsidR="00881C46" w:rsidRDefault="00881C46" w:rsidP="00881C46">
      <w:pPr>
        <w:rPr>
          <w:rFonts w:ascii="Arial" w:hAnsi="Arial" w:cs="Arial"/>
          <w:sz w:val="20"/>
          <w:lang w:val="es-ES_tradnl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881C46" w:rsidRPr="000E1F51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881C46" w:rsidRPr="000E1F51" w:rsidRDefault="00881C46" w:rsidP="00881C46">
            <w:pPr>
              <w:spacing w:after="40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Contenido Temático</w:t>
            </w:r>
          </w:p>
        </w:tc>
      </w:tr>
      <w:tr w:rsidR="00881C46" w:rsidRPr="000E1F51">
        <w:trPr>
          <w:cantSplit/>
          <w:trHeight w:val="336"/>
          <w:jc w:val="center"/>
        </w:trPr>
        <w:tc>
          <w:tcPr>
            <w:tcW w:w="1049" w:type="dxa"/>
          </w:tcPr>
          <w:p w:rsidR="00881C46" w:rsidRPr="000E1F51" w:rsidRDefault="00881C46" w:rsidP="00881C46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2o Semestre</w:t>
            </w:r>
          </w:p>
        </w:tc>
        <w:tc>
          <w:tcPr>
            <w:tcW w:w="7662" w:type="dxa"/>
          </w:tcPr>
          <w:p w:rsidR="00881C46" w:rsidRPr="000E1F51" w:rsidRDefault="00881C46" w:rsidP="00881C46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Tema y subtemas</w:t>
            </w:r>
          </w:p>
        </w:tc>
      </w:tr>
      <w:tr w:rsidR="00881C46" w:rsidRPr="000E1F51">
        <w:trPr>
          <w:trHeight w:val="334"/>
          <w:jc w:val="center"/>
        </w:trPr>
        <w:tc>
          <w:tcPr>
            <w:tcW w:w="1049" w:type="dxa"/>
          </w:tcPr>
          <w:p w:rsidR="00881C46" w:rsidRPr="000E1F51" w:rsidRDefault="00881C46" w:rsidP="00881C46">
            <w:pPr>
              <w:spacing w:after="40"/>
              <w:jc w:val="center"/>
              <w:rPr>
                <w:rFonts w:ascii="Arial Narrow" w:hAnsi="Arial Narrow" w:cs="Arial"/>
                <w:b/>
                <w:color w:val="FF0000"/>
                <w:sz w:val="20"/>
                <w:lang w:val="es-ES_tradnl"/>
              </w:rPr>
            </w:pPr>
          </w:p>
        </w:tc>
        <w:tc>
          <w:tcPr>
            <w:tcW w:w="7662" w:type="dxa"/>
          </w:tcPr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Parte teórica: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1. La teoría de la traducción en la época moderna 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   </w:t>
            </w:r>
            <w:r>
              <w:rPr>
                <w:rFonts w:ascii="Arial Narrow" w:hAnsi="Arial Narrow" w:cs="Arial"/>
                <w:sz w:val="20"/>
                <w:lang w:val="es-ES_tradnl"/>
              </w:rPr>
              <w:t>1.1 La traducción y el “giro cultural”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        1.1.1 Cultura y traducción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        1.1.2 Traducción como reescritura del “otro”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1.2 La traducción y los estudios poscoloniales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      1.2.1 Traducción y poder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      1.2.2 Colonialismo y traducción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      1.2.3 “Hibridismo” y “traducción cultural”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      1.2.4 Literatura poscolonial y traducción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      1.2.5 La traducción poscolonial o decolonial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1.3 Las teorías de la traducción no-occidentales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1.4 La visibilidad o (in)visibilidad del traductor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2. Distintos enfoques para la traducción de textos en lenguas indígenas</w:t>
            </w:r>
            <w:r w:rsidRPr="00662755"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</w:p>
          <w:p w:rsidR="00881C46" w:rsidRPr="00662755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:rsidR="00881C46" w:rsidRPr="00760488" w:rsidRDefault="00881C46" w:rsidP="00881C46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Parte práctica: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1. Características y problemas de traducción que presentan diferentes tipologías textuales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1.1 Traducción de textos narrativos: anales, crónicas, “etnografías coloniales” (CF)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1.2 Traducción de textos legales: testamentos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1.3 Traducción de textos descriptivos: “etnografías coloniales” (CF)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1.4 Traducción de textos de evangelización: doctrinas, confesionarios, obras de teatro, sermones</w:t>
            </w:r>
          </w:p>
          <w:p w:rsidR="00881C46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1.5 Traducción de textos formulaicos: </w:t>
            </w:r>
            <w:r w:rsidRPr="007B6755">
              <w:rPr>
                <w:rFonts w:ascii="Arial Narrow" w:hAnsi="Arial Narrow" w:cs="Arial"/>
                <w:i/>
                <w:sz w:val="20"/>
                <w:lang w:val="es-ES_tradnl"/>
              </w:rPr>
              <w:t>huehuetlahtolli</w:t>
            </w:r>
          </w:p>
          <w:p w:rsidR="00881C46" w:rsidRPr="00154ED5" w:rsidRDefault="00881C46" w:rsidP="00881C46">
            <w:pPr>
              <w:spacing w:after="40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   1.6 Traducción de textos ligados a una praxis ritual: cantares</w:t>
            </w:r>
          </w:p>
        </w:tc>
      </w:tr>
    </w:tbl>
    <w:p w:rsidR="00881C46" w:rsidRDefault="00881C46" w:rsidP="00881C46">
      <w:pPr>
        <w:jc w:val="center"/>
        <w:rPr>
          <w:rFonts w:ascii="Arial" w:hAnsi="Arial" w:cs="Arial"/>
          <w:sz w:val="20"/>
          <w:lang w:val="es-ES_tradnl"/>
        </w:rPr>
      </w:pPr>
    </w:p>
    <w:p w:rsidR="00881C46" w:rsidRPr="000E1F51" w:rsidRDefault="00881C46" w:rsidP="00881C46">
      <w:pPr>
        <w:jc w:val="center"/>
        <w:rPr>
          <w:rFonts w:ascii="Arial" w:hAnsi="Arial" w:cs="Arial"/>
          <w:sz w:val="20"/>
          <w:lang w:val="es-ES_tradnl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881C46" w:rsidRPr="000C0FEF">
        <w:trPr>
          <w:trHeight w:val="775"/>
          <w:jc w:val="center"/>
        </w:trPr>
        <w:tc>
          <w:tcPr>
            <w:tcW w:w="8640" w:type="dxa"/>
            <w:gridSpan w:val="2"/>
          </w:tcPr>
          <w:p w:rsidR="00881C46" w:rsidRPr="000C0FEF" w:rsidRDefault="00881C46" w:rsidP="00881C46">
            <w:pPr>
              <w:rPr>
                <w:rFonts w:ascii="Arial Narrow" w:hAnsi="Arial Narrow" w:cs="Calibri"/>
                <w:b/>
                <w:sz w:val="20"/>
              </w:rPr>
            </w:pPr>
            <w:r w:rsidRPr="000C0FEF">
              <w:rPr>
                <w:rFonts w:ascii="Arial Narrow" w:hAnsi="Arial Narrow" w:cs="Calibri"/>
                <w:b/>
                <w:sz w:val="20"/>
              </w:rPr>
              <w:lastRenderedPageBreak/>
              <w:t xml:space="preserve">Bibliografía básica: </w:t>
            </w:r>
          </w:p>
          <w:p w:rsidR="00881C46" w:rsidRPr="000C0FEF" w:rsidRDefault="00881C46" w:rsidP="00881C46">
            <w:pPr>
              <w:rPr>
                <w:rFonts w:ascii="Arial Narrow" w:hAnsi="Arial Narrow" w:cs="Calibri"/>
                <w:b/>
                <w:sz w:val="20"/>
              </w:rPr>
            </w:pPr>
          </w:p>
          <w:p w:rsidR="00881C46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Baker, Mona, </w:t>
            </w:r>
            <w:r w:rsidRPr="00494B5A">
              <w:rPr>
                <w:rFonts w:ascii="Arial Narrow" w:hAnsi="Arial Narrow"/>
                <w:i/>
                <w:sz w:val="20"/>
              </w:rPr>
              <w:t>In Other Words: A Coursebook on translation</w:t>
            </w:r>
            <w:r>
              <w:rPr>
                <w:rFonts w:ascii="Arial Narrow" w:hAnsi="Arial Narrow"/>
                <w:sz w:val="20"/>
              </w:rPr>
              <w:t>, Londres y Nueva York, Routledge, 1992.</w:t>
            </w:r>
          </w:p>
          <w:p w:rsidR="00881C46" w:rsidRPr="000C0FEF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Bassnet, Susan y André Lefevere, </w:t>
            </w:r>
            <w:r w:rsidRPr="00494B5A">
              <w:rPr>
                <w:rFonts w:ascii="Arial Narrow" w:hAnsi="Arial Narrow"/>
                <w:i/>
                <w:sz w:val="20"/>
              </w:rPr>
              <w:t>Constructing Cultures. Essays on Literary Translation</w:t>
            </w:r>
            <w:r w:rsidRPr="00494B5A">
              <w:rPr>
                <w:rFonts w:ascii="Arial Narrow" w:hAnsi="Arial Narrow"/>
                <w:sz w:val="20"/>
              </w:rPr>
              <w:t xml:space="preserve">, </w:t>
            </w:r>
            <w:r w:rsidRPr="000C0FEF">
              <w:rPr>
                <w:rFonts w:ascii="Arial Narrow" w:hAnsi="Arial Narrow"/>
                <w:sz w:val="20"/>
              </w:rPr>
              <w:t>Bristol, Multilingual Matters, 2001.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  <w:lang w:val="fr-FR"/>
              </w:rPr>
              <w:t xml:space="preserve">Bassnett, Susan y André Lefevere, </w:t>
            </w:r>
            <w:r w:rsidRPr="00494B5A">
              <w:rPr>
                <w:rFonts w:ascii="Arial Narrow" w:hAnsi="Arial Narrow"/>
                <w:i/>
                <w:sz w:val="20"/>
              </w:rPr>
              <w:t>Translation, History and Culture</w:t>
            </w:r>
            <w:r w:rsidRPr="00494B5A">
              <w:rPr>
                <w:rFonts w:ascii="Arial Narrow" w:hAnsi="Arial Narrow"/>
                <w:sz w:val="20"/>
              </w:rPr>
              <w:t>, Londres, Pinter,</w:t>
            </w:r>
            <w:r w:rsidRPr="00494B5A">
              <w:rPr>
                <w:rFonts w:ascii="Arial Narrow" w:hAnsi="Arial Narrow"/>
                <w:sz w:val="20"/>
                <w:lang w:val="fr-FR"/>
              </w:rPr>
              <w:t xml:space="preserve"> 1990.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Bassnett, Susan y Harish </w:t>
            </w:r>
            <w:r w:rsidRPr="00494B5A">
              <w:rPr>
                <w:rFonts w:ascii="Arial Narrow" w:hAnsi="Arial Narrow"/>
                <w:sz w:val="20"/>
              </w:rPr>
              <w:t xml:space="preserve">Trivedi, </w:t>
            </w:r>
            <w:r w:rsidRPr="00494B5A">
              <w:rPr>
                <w:rFonts w:ascii="Arial Narrow" w:hAnsi="Arial Narrow"/>
                <w:i/>
                <w:sz w:val="20"/>
              </w:rPr>
              <w:t>Post-colonial Translation. Theory and Practice</w:t>
            </w:r>
            <w:r w:rsidRPr="00494B5A">
              <w:rPr>
                <w:rFonts w:ascii="Arial Narrow" w:hAnsi="Arial Narrow"/>
                <w:sz w:val="20"/>
              </w:rPr>
              <w:t>, Londres y Nueva York, Routledge, 2002.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Bassnett, Susan, </w:t>
            </w:r>
            <w:r w:rsidRPr="00494B5A">
              <w:rPr>
                <w:rFonts w:ascii="Arial Narrow" w:hAnsi="Arial Narrow"/>
                <w:i/>
                <w:sz w:val="20"/>
              </w:rPr>
              <w:t>Reflections on Translation</w:t>
            </w:r>
            <w:r w:rsidRPr="00494B5A">
              <w:rPr>
                <w:rFonts w:ascii="Arial Narrow" w:hAnsi="Arial Narrow"/>
                <w:sz w:val="20"/>
              </w:rPr>
              <w:t>, Bristol, Multilingual Matters, 2001.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494B5A">
              <w:rPr>
                <w:rFonts w:ascii="Arial Narrow" w:hAnsi="Arial Narrow"/>
                <w:sz w:val="20"/>
                <w:lang w:val="es-ES_tradnl"/>
              </w:rPr>
              <w:t xml:space="preserve">Berman, A., </w:t>
            </w:r>
            <w:r w:rsidRPr="00494B5A">
              <w:rPr>
                <w:rFonts w:ascii="Arial Narrow" w:hAnsi="Arial Narrow"/>
                <w:i/>
                <w:sz w:val="20"/>
                <w:lang w:val="es-ES_tradnl"/>
              </w:rPr>
              <w:t>La prueba de lo ajeno</w:t>
            </w:r>
            <w:r w:rsidRPr="00494B5A">
              <w:rPr>
                <w:rFonts w:ascii="Arial Narrow" w:hAnsi="Arial Narrow"/>
                <w:sz w:val="20"/>
                <w:lang w:val="es-ES_tradnl"/>
              </w:rPr>
              <w:t>, Las Palmas de Gran Canaria, Universidad de Las Palmas de Gran Canaria, 2003.</w:t>
            </w:r>
          </w:p>
          <w:p w:rsidR="00881C46" w:rsidRPr="000C0FEF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0C0FEF">
              <w:rPr>
                <w:rFonts w:ascii="Arial Narrow" w:hAnsi="Arial Narrow"/>
                <w:sz w:val="20"/>
                <w:lang w:val="es-MX"/>
              </w:rPr>
              <w:t xml:space="preserve">García Yebra, Valentín, </w:t>
            </w:r>
            <w:r w:rsidRPr="000C0FEF">
              <w:rPr>
                <w:rFonts w:ascii="Arial Narrow" w:hAnsi="Arial Narrow"/>
                <w:i/>
                <w:iCs/>
                <w:sz w:val="20"/>
                <w:lang w:val="es-MX"/>
              </w:rPr>
              <w:t>Teoría y práctica de la traducción</w:t>
            </w:r>
            <w:r w:rsidRPr="000C0FEF">
              <w:rPr>
                <w:rFonts w:ascii="Arial Narrow" w:hAnsi="Arial Narrow"/>
                <w:sz w:val="20"/>
                <w:lang w:val="es-MX"/>
              </w:rPr>
              <w:t xml:space="preserve">, Madrid, Gredos, 1984. 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0C0FEF">
              <w:rPr>
                <w:rFonts w:ascii="Arial Narrow" w:hAnsi="Arial Narrow"/>
                <w:sz w:val="20"/>
                <w:lang w:val="es-MX"/>
              </w:rPr>
              <w:t xml:space="preserve">García Yebra, Valentín, </w:t>
            </w:r>
            <w:r w:rsidRPr="000C0FEF">
              <w:rPr>
                <w:rFonts w:ascii="Arial Narrow" w:hAnsi="Arial Narrow"/>
                <w:i/>
                <w:iCs/>
                <w:sz w:val="20"/>
                <w:lang w:val="es-MX"/>
              </w:rPr>
              <w:t>Traducción: Historia y teoría</w:t>
            </w:r>
            <w:r w:rsidRPr="000C0FEF">
              <w:rPr>
                <w:rFonts w:ascii="Arial Narrow" w:hAnsi="Arial Narrow"/>
                <w:sz w:val="20"/>
                <w:lang w:val="es-MX"/>
              </w:rPr>
              <w:t xml:space="preserve">, Madrid, </w:t>
            </w:r>
            <w:r w:rsidRPr="00494B5A">
              <w:rPr>
                <w:rFonts w:ascii="Arial Narrow" w:hAnsi="Arial Narrow"/>
                <w:sz w:val="20"/>
                <w:lang w:val="es-MX"/>
              </w:rPr>
              <w:t>Gredos, 1994.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Graham, Joseph F., </w:t>
            </w:r>
            <w:r w:rsidRPr="00494B5A">
              <w:rPr>
                <w:rFonts w:ascii="Arial Narrow" w:hAnsi="Arial Narrow"/>
                <w:i/>
                <w:sz w:val="20"/>
              </w:rPr>
              <w:t>Difference in Translation</w:t>
            </w:r>
            <w:r w:rsidRPr="00494B5A">
              <w:rPr>
                <w:rFonts w:ascii="Arial Narrow" w:hAnsi="Arial Narrow"/>
                <w:sz w:val="20"/>
              </w:rPr>
              <w:t>, Cornell, Cornell University Press, 1985.</w:t>
            </w:r>
          </w:p>
          <w:p w:rsidR="00881C46" w:rsidRPr="000C0FEF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494B5A">
              <w:rPr>
                <w:rFonts w:ascii="Arial Narrow" w:hAnsi="Arial Narrow"/>
                <w:sz w:val="20"/>
                <w:lang w:val="pt-BR"/>
              </w:rPr>
              <w:t xml:space="preserve">Hatim, Basil e Ian Mason, </w:t>
            </w:r>
            <w:r w:rsidRPr="00494B5A">
              <w:rPr>
                <w:rFonts w:ascii="Arial Narrow" w:hAnsi="Arial Narrow"/>
                <w:i/>
                <w:sz w:val="20"/>
                <w:lang w:val="es-MX"/>
              </w:rPr>
              <w:t>Teoría de la traducción: Una aproximación al discurso</w:t>
            </w:r>
            <w:r w:rsidRPr="00494B5A">
              <w:rPr>
                <w:rFonts w:ascii="Arial Narrow" w:hAnsi="Arial Narrow"/>
                <w:sz w:val="20"/>
                <w:lang w:val="es-MX"/>
              </w:rPr>
              <w:t xml:space="preserve">, </w:t>
            </w:r>
            <w:r w:rsidRPr="000C0FEF">
              <w:rPr>
                <w:rFonts w:ascii="Arial Narrow" w:hAnsi="Arial Narrow"/>
                <w:sz w:val="20"/>
                <w:lang w:val="es-MX"/>
              </w:rPr>
              <w:t xml:space="preserve">Barcelona, Ariel, </w:t>
            </w:r>
            <w:r w:rsidRPr="00494B5A">
              <w:rPr>
                <w:rFonts w:ascii="Arial Narrow" w:hAnsi="Arial Narrow"/>
                <w:sz w:val="20"/>
                <w:lang w:val="pt-BR"/>
              </w:rPr>
              <w:t>1995.</w:t>
            </w:r>
          </w:p>
          <w:p w:rsidR="00881C46" w:rsidRPr="000C0FEF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0C0FEF">
              <w:rPr>
                <w:rFonts w:ascii="Arial Narrow" w:hAnsi="Arial Narrow"/>
                <w:sz w:val="20"/>
                <w:lang w:val="es-MX"/>
              </w:rPr>
              <w:t xml:space="preserve">Lefevere, André, </w:t>
            </w:r>
            <w:r w:rsidRPr="000C0FEF">
              <w:rPr>
                <w:rFonts w:ascii="Arial Narrow" w:hAnsi="Arial Narrow"/>
                <w:i/>
                <w:sz w:val="20"/>
                <w:lang w:val="es-MX"/>
              </w:rPr>
              <w:t>Traducción, reescritura y la manipulación del canon literario,</w:t>
            </w:r>
            <w:r w:rsidRPr="000C0FEF">
              <w:rPr>
                <w:rFonts w:ascii="Arial Narrow" w:hAnsi="Arial Narrow"/>
                <w:sz w:val="20"/>
                <w:lang w:val="es-MX"/>
              </w:rPr>
              <w:t xml:space="preserve"> Salamanca, Ediciones del Colegio de España, 1997.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494B5A">
              <w:rPr>
                <w:rFonts w:ascii="Arial Narrow" w:hAnsi="Arial Narrow"/>
                <w:sz w:val="20"/>
                <w:lang w:val="es-MX"/>
              </w:rPr>
              <w:t xml:space="preserve">López García, Dámaso, </w:t>
            </w:r>
            <w:r w:rsidRPr="00494B5A">
              <w:rPr>
                <w:rFonts w:ascii="Arial Narrow" w:hAnsi="Arial Narrow"/>
                <w:i/>
                <w:sz w:val="20"/>
                <w:lang w:val="es-MX"/>
              </w:rPr>
              <w:t>Teorías de la traducción: antología de textos</w:t>
            </w:r>
            <w:r w:rsidRPr="00494B5A">
              <w:rPr>
                <w:rFonts w:ascii="Arial Narrow" w:hAnsi="Arial Narrow"/>
                <w:sz w:val="20"/>
                <w:lang w:val="es-MX"/>
              </w:rPr>
              <w:t>, Cuenca, Ediciones de la Universidad de Castilla-La Mancha, 1996.</w:t>
            </w:r>
          </w:p>
          <w:p w:rsidR="00881C46" w:rsidRPr="000C0FEF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0C0FEF">
              <w:rPr>
                <w:rFonts w:ascii="Arial Narrow" w:hAnsi="Arial Narrow"/>
                <w:sz w:val="20"/>
                <w:lang w:val="es-MX"/>
              </w:rPr>
              <w:t>Mounin,</w:t>
            </w:r>
            <w:r w:rsidRPr="00494B5A">
              <w:rPr>
                <w:rFonts w:ascii="Arial Narrow" w:hAnsi="Arial Narrow" w:cs="Arial"/>
                <w:b/>
                <w:color w:val="FF0000"/>
                <w:sz w:val="20"/>
                <w:lang w:val="es-ES_tradnl"/>
              </w:rPr>
              <w:t xml:space="preserve"> </w:t>
            </w:r>
            <w:r w:rsidRPr="000C0FEF">
              <w:rPr>
                <w:rFonts w:ascii="Arial Narrow" w:hAnsi="Arial Narrow"/>
                <w:sz w:val="20"/>
                <w:lang w:val="es-MX"/>
              </w:rPr>
              <w:t xml:space="preserve">Georges, </w:t>
            </w:r>
            <w:r w:rsidRPr="000C0FEF">
              <w:rPr>
                <w:rFonts w:ascii="Arial Narrow" w:hAnsi="Arial Narrow"/>
                <w:i/>
                <w:sz w:val="20"/>
                <w:lang w:val="es-MX"/>
              </w:rPr>
              <w:t>Los problemas teóricos de la traducción</w:t>
            </w:r>
            <w:r w:rsidRPr="000C0FEF">
              <w:rPr>
                <w:rFonts w:ascii="Arial Narrow" w:hAnsi="Arial Narrow"/>
                <w:sz w:val="20"/>
                <w:lang w:val="es-MX"/>
              </w:rPr>
              <w:t>, Madrid, Gredos, 1971.</w:t>
            </w:r>
          </w:p>
          <w:p w:rsidR="00881C46" w:rsidRPr="000C0FEF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Munday, Jeremy, </w:t>
            </w:r>
            <w:r w:rsidRPr="00494B5A">
              <w:rPr>
                <w:rFonts w:ascii="Arial Narrow" w:hAnsi="Arial Narrow"/>
                <w:i/>
                <w:iCs/>
                <w:sz w:val="20"/>
              </w:rPr>
              <w:t>Introducing Translation Studies: Theories and Applications</w:t>
            </w:r>
            <w:r w:rsidRPr="00494B5A">
              <w:rPr>
                <w:rFonts w:ascii="Arial Narrow" w:hAnsi="Arial Narrow"/>
                <w:sz w:val="20"/>
              </w:rPr>
              <w:t xml:space="preserve">, </w:t>
            </w:r>
            <w:r w:rsidRPr="000C0FEF">
              <w:rPr>
                <w:rFonts w:ascii="Arial Narrow" w:hAnsi="Arial Narrow"/>
                <w:sz w:val="20"/>
              </w:rPr>
              <w:t>Londres, Routledge,</w:t>
            </w:r>
            <w:r w:rsidRPr="00494B5A">
              <w:rPr>
                <w:rFonts w:ascii="Arial Narrow" w:hAnsi="Arial Narrow"/>
                <w:sz w:val="20"/>
              </w:rPr>
              <w:t xml:space="preserve"> 2001</w:t>
            </w:r>
            <w:r w:rsidRPr="000C0FEF">
              <w:rPr>
                <w:rFonts w:ascii="Arial Narrow" w:hAnsi="Arial Narrow"/>
                <w:sz w:val="20"/>
              </w:rPr>
              <w:t>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Niranjana, Tejaswini, </w:t>
            </w:r>
            <w:r w:rsidRPr="00494B5A">
              <w:rPr>
                <w:rFonts w:ascii="Arial Narrow" w:hAnsi="Arial Narrow"/>
                <w:i/>
                <w:sz w:val="20"/>
              </w:rPr>
              <w:t>Siting Translation: History, Post-Structuralism, and the Colonial Context</w:t>
            </w:r>
            <w:r w:rsidRPr="00494B5A">
              <w:rPr>
                <w:rFonts w:ascii="Arial Narrow" w:hAnsi="Arial Narrow"/>
                <w:sz w:val="20"/>
              </w:rPr>
              <w:t>, Berkeley, University of California Press, 1992.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Schulte, R., </w:t>
            </w:r>
            <w:r w:rsidRPr="00494B5A">
              <w:rPr>
                <w:rFonts w:ascii="Arial Narrow" w:hAnsi="Arial Narrow"/>
                <w:i/>
                <w:iCs/>
                <w:sz w:val="20"/>
              </w:rPr>
              <w:t>Theories of Translation. An Anthology of Essays from Dryden to Derrida</w:t>
            </w:r>
            <w:r w:rsidRPr="00494B5A">
              <w:rPr>
                <w:rFonts w:ascii="Arial Narrow" w:hAnsi="Arial Narrow"/>
                <w:sz w:val="20"/>
              </w:rPr>
              <w:t>, [s.l.], University of Chicago Press, 1992.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Simon, Sherry y Paul St-Pierre (eds.), </w:t>
            </w:r>
            <w:r w:rsidRPr="00494B5A">
              <w:rPr>
                <w:rFonts w:ascii="Arial Narrow" w:hAnsi="Arial Narrow"/>
                <w:i/>
                <w:sz w:val="20"/>
              </w:rPr>
              <w:t>Changing the terms: Translation in the postcolonial era</w:t>
            </w:r>
            <w:r w:rsidRPr="00494B5A">
              <w:rPr>
                <w:rFonts w:ascii="Arial Narrow" w:hAnsi="Arial Narrow"/>
                <w:sz w:val="20"/>
              </w:rPr>
              <w:t>, Ottawa, University of Ottawa Press, 2000.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Simon, Sherry, </w:t>
            </w:r>
            <w:r w:rsidRPr="00494B5A">
              <w:rPr>
                <w:rFonts w:ascii="Arial Narrow" w:hAnsi="Arial Narrow"/>
                <w:i/>
                <w:sz w:val="20"/>
              </w:rPr>
              <w:t>Gender in Translation. Cultural Identity and the Politics of Transmission</w:t>
            </w:r>
            <w:r w:rsidRPr="00494B5A">
              <w:rPr>
                <w:rFonts w:ascii="Arial Narrow" w:hAnsi="Arial Narrow"/>
                <w:sz w:val="20"/>
              </w:rPr>
              <w:t>, Londres y Nueva York, Rotutledge, 1996.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Timoczyo, Maria y Edwin Gentzler, </w:t>
            </w:r>
            <w:r w:rsidRPr="00494B5A">
              <w:rPr>
                <w:rFonts w:ascii="Arial Narrow" w:hAnsi="Arial Narrow"/>
                <w:i/>
                <w:sz w:val="20"/>
              </w:rPr>
              <w:t>Translation and Power</w:t>
            </w:r>
            <w:r w:rsidRPr="00494B5A">
              <w:rPr>
                <w:rFonts w:ascii="Arial Narrow" w:hAnsi="Arial Narrow"/>
                <w:sz w:val="20"/>
              </w:rPr>
              <w:t>, [s.l.], University of massachusetts Press, 2002.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494B5A">
              <w:rPr>
                <w:rFonts w:ascii="Arial Narrow" w:hAnsi="Arial Narrow"/>
                <w:sz w:val="20"/>
                <w:lang w:val="es-ES_tradnl"/>
              </w:rPr>
              <w:t xml:space="preserve">Vázquez-Ayora, G., </w:t>
            </w:r>
            <w:r w:rsidRPr="00494B5A">
              <w:rPr>
                <w:rFonts w:ascii="Arial Narrow" w:hAnsi="Arial Narrow"/>
                <w:i/>
                <w:sz w:val="20"/>
                <w:lang w:val="es-ES_tradnl"/>
              </w:rPr>
              <w:t>Introducción a la traductología: Curso básico de traducción</w:t>
            </w:r>
            <w:r w:rsidRPr="00494B5A">
              <w:rPr>
                <w:rFonts w:ascii="Arial Narrow" w:hAnsi="Arial Narrow"/>
                <w:sz w:val="20"/>
                <w:lang w:val="es-ES_tradnl"/>
              </w:rPr>
              <w:t>, [s.l.], Universidad de Georgetown, 1977.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bCs/>
                <w:sz w:val="20"/>
              </w:rPr>
            </w:pPr>
            <w:r w:rsidRPr="00494B5A">
              <w:rPr>
                <w:rFonts w:ascii="Arial Narrow" w:hAnsi="Arial Narrow"/>
                <w:bCs/>
                <w:sz w:val="20"/>
              </w:rPr>
              <w:t xml:space="preserve">Venuti, Lawrence, (Ed.), </w:t>
            </w:r>
            <w:r w:rsidRPr="00494B5A">
              <w:rPr>
                <w:rFonts w:ascii="Arial Narrow" w:hAnsi="Arial Narrow"/>
                <w:bCs/>
                <w:i/>
                <w:sz w:val="20"/>
              </w:rPr>
              <w:t>The Translation Studies Reader</w:t>
            </w:r>
            <w:r w:rsidRPr="00494B5A">
              <w:rPr>
                <w:rFonts w:ascii="Arial Narrow" w:hAnsi="Arial Narrow"/>
                <w:bCs/>
                <w:sz w:val="20"/>
              </w:rPr>
              <w:t>, Londres y Nueva York, Routledge, 2004.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bCs/>
                <w:sz w:val="20"/>
              </w:rPr>
            </w:pPr>
            <w:r w:rsidRPr="00494B5A">
              <w:rPr>
                <w:rFonts w:ascii="Arial Narrow" w:hAnsi="Arial Narrow"/>
                <w:bCs/>
                <w:sz w:val="20"/>
              </w:rPr>
              <w:t xml:space="preserve">Venuti, Lawrence, </w:t>
            </w:r>
            <w:r w:rsidRPr="00494B5A">
              <w:rPr>
                <w:rFonts w:ascii="Arial Narrow" w:hAnsi="Arial Narrow"/>
                <w:bCs/>
                <w:i/>
                <w:sz w:val="20"/>
              </w:rPr>
              <w:t>Rethinking Translation: Discourse, Subjectivity, Ideology</w:t>
            </w:r>
            <w:r w:rsidRPr="00494B5A">
              <w:rPr>
                <w:rFonts w:ascii="Arial Narrow" w:hAnsi="Arial Narrow"/>
                <w:bCs/>
                <w:sz w:val="20"/>
              </w:rPr>
              <w:t>, Londres y Nueva York, Routledge, 1992.</w:t>
            </w:r>
          </w:p>
          <w:p w:rsidR="00881C46" w:rsidRPr="00494B5A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494B5A">
              <w:rPr>
                <w:rFonts w:ascii="Arial Narrow" w:hAnsi="Arial Narrow"/>
                <w:sz w:val="20"/>
              </w:rPr>
              <w:t xml:space="preserve">Venuti, Lawrence, </w:t>
            </w:r>
            <w:r w:rsidRPr="00494B5A">
              <w:rPr>
                <w:rFonts w:ascii="Arial Narrow" w:hAnsi="Arial Narrow"/>
                <w:i/>
                <w:sz w:val="20"/>
              </w:rPr>
              <w:t>The Translator’s Invisibility. A history of translation</w:t>
            </w:r>
            <w:r>
              <w:rPr>
                <w:rFonts w:ascii="Arial Narrow" w:hAnsi="Arial Narrow"/>
                <w:sz w:val="20"/>
              </w:rPr>
              <w:t xml:space="preserve">, Londres y Nueva York, </w:t>
            </w:r>
            <w:r w:rsidRPr="00494B5A">
              <w:rPr>
                <w:rFonts w:ascii="Arial Narrow" w:hAnsi="Arial Narrow"/>
                <w:sz w:val="20"/>
              </w:rPr>
              <w:t>Routledge, 1995.</w:t>
            </w:r>
          </w:p>
          <w:p w:rsidR="00881C46" w:rsidRPr="000C0FEF" w:rsidRDefault="00881C46" w:rsidP="00881C46">
            <w:pPr>
              <w:pStyle w:val="Cuadrculaclara-nfasis3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81C46" w:rsidRPr="000E1F51">
        <w:trPr>
          <w:trHeight w:val="546"/>
          <w:jc w:val="center"/>
        </w:trPr>
        <w:tc>
          <w:tcPr>
            <w:tcW w:w="8640" w:type="dxa"/>
            <w:gridSpan w:val="2"/>
          </w:tcPr>
          <w:p w:rsidR="00881C46" w:rsidRDefault="00881C46" w:rsidP="00881C46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20"/>
                <w:lang w:val="es-ES_tradnl"/>
              </w:rPr>
              <w:t>Bibliografía complementaria:</w:t>
            </w:r>
          </w:p>
          <w:p w:rsidR="00881C46" w:rsidRDefault="00881C46" w:rsidP="00881C46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:rsidR="00881C46" w:rsidRDefault="00881C46" w:rsidP="00881C46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Gramáticas y diccionarios de la lengua náhuatl:</w:t>
            </w:r>
          </w:p>
          <w:p w:rsidR="00881C46" w:rsidRPr="000C0FEF" w:rsidRDefault="00881C46" w:rsidP="00881C46">
            <w:pPr>
              <w:ind w:left="285" w:hanging="284"/>
              <w:rPr>
                <w:rFonts w:ascii="Arial Narrow" w:hAnsi="Arial Narrow" w:cs="Arial"/>
                <w:sz w:val="20"/>
              </w:rPr>
            </w:pPr>
            <w:r w:rsidRPr="000C0FEF">
              <w:rPr>
                <w:rFonts w:ascii="Arial Narrow" w:hAnsi="Arial Narrow" w:cs="Arial"/>
                <w:sz w:val="20"/>
              </w:rPr>
              <w:t xml:space="preserve">Campbel, R. Joe, </w:t>
            </w:r>
            <w:r w:rsidRPr="000C0FEF">
              <w:rPr>
                <w:rFonts w:ascii="Arial Narrow" w:hAnsi="Arial Narrow" w:cs="Arial"/>
                <w:i/>
                <w:sz w:val="20"/>
              </w:rPr>
              <w:t>A Morphological Dictionary of Calssical Nahuatl</w:t>
            </w:r>
            <w:r w:rsidRPr="000C0FEF">
              <w:rPr>
                <w:rFonts w:ascii="Arial Narrow" w:hAnsi="Arial Narrow" w:cs="Arial"/>
                <w:sz w:val="20"/>
              </w:rPr>
              <w:t>, Madison, Hispanic Seminary of Medieval Studies, 1985.</w:t>
            </w:r>
          </w:p>
          <w:p w:rsidR="00881C46" w:rsidRPr="000477A6" w:rsidRDefault="00881C46" w:rsidP="00881C46">
            <w:pPr>
              <w:ind w:left="285" w:hanging="284"/>
              <w:rPr>
                <w:rFonts w:ascii="Arial Narrow" w:hAnsi="Arial Narrow" w:cs="Arial"/>
                <w:sz w:val="20"/>
                <w:lang w:val="es-ES_tradnl"/>
              </w:rPr>
            </w:pPr>
            <w:r w:rsidRPr="000477A6">
              <w:rPr>
                <w:rFonts w:ascii="Arial Narrow" w:hAnsi="Arial Narrow" w:cs="Arial"/>
                <w:sz w:val="20"/>
                <w:lang w:val="es-ES_tradnl"/>
              </w:rPr>
              <w:t xml:space="preserve">Carochi, Horacio, </w:t>
            </w:r>
            <w:r w:rsidRPr="000477A6">
              <w:rPr>
                <w:rFonts w:ascii="Arial Narrow" w:hAnsi="Arial Narrow" w:cs="Arial"/>
                <w:i/>
                <w:sz w:val="20"/>
                <w:lang w:val="es-ES_tradnl"/>
              </w:rPr>
              <w:t>Arte de la lengua mexicana con la declaración de los adverbios della</w:t>
            </w:r>
            <w:r w:rsidRPr="000477A6">
              <w:rPr>
                <w:rFonts w:ascii="Arial Narrow" w:hAnsi="Arial Narrow" w:cs="Arial"/>
                <w:sz w:val="20"/>
                <w:lang w:val="es-ES_tradnl"/>
              </w:rPr>
              <w:t>, edición facsimilar de Miguel León-Portilla, México, Universidad Nacional Autónoma de México, Instituto de Investigaciones Históricas, 1983.</w:t>
            </w:r>
          </w:p>
          <w:p w:rsidR="00881C46" w:rsidRPr="000C0FEF" w:rsidRDefault="00881C46" w:rsidP="00881C46">
            <w:pPr>
              <w:ind w:left="285" w:hanging="284"/>
              <w:rPr>
                <w:rFonts w:ascii="Arial Narrow" w:hAnsi="Arial Narrow" w:cs="Arial"/>
                <w:sz w:val="20"/>
              </w:rPr>
            </w:pPr>
            <w:r w:rsidRPr="000C0FEF">
              <w:rPr>
                <w:rFonts w:ascii="Arial Narrow" w:hAnsi="Arial Narrow" w:cs="Arial"/>
                <w:sz w:val="20"/>
              </w:rPr>
              <w:t xml:space="preserve">Karttunen, Frances, </w:t>
            </w:r>
            <w:r w:rsidRPr="000C0FEF">
              <w:rPr>
                <w:rFonts w:ascii="Arial Narrow" w:hAnsi="Arial Narrow" w:cs="Arial"/>
                <w:i/>
                <w:sz w:val="20"/>
              </w:rPr>
              <w:t>An Analytical Dictionary of Nahuatl</w:t>
            </w:r>
            <w:r w:rsidRPr="000C0FEF">
              <w:rPr>
                <w:rFonts w:ascii="Arial Narrow" w:hAnsi="Arial Narrow" w:cs="Arial"/>
                <w:sz w:val="20"/>
              </w:rPr>
              <w:t>, Austin, The University of Texas Press, 1983.</w:t>
            </w:r>
          </w:p>
          <w:p w:rsidR="00881C46" w:rsidRPr="000477A6" w:rsidRDefault="00881C46" w:rsidP="00881C46">
            <w:pPr>
              <w:ind w:left="285" w:hanging="284"/>
              <w:rPr>
                <w:rFonts w:ascii="Arial Narrow" w:hAnsi="Arial Narrow" w:cs="Arial"/>
                <w:sz w:val="20"/>
                <w:lang w:val="es-ES_tradnl"/>
              </w:rPr>
            </w:pPr>
            <w:r w:rsidRPr="000477A6">
              <w:rPr>
                <w:rFonts w:ascii="Arial Narrow" w:hAnsi="Arial Narrow" w:cs="Arial"/>
                <w:sz w:val="20"/>
                <w:lang w:val="es-ES_tradnl"/>
              </w:rPr>
              <w:t xml:space="preserve">Launey, Michel, </w:t>
            </w:r>
            <w:r w:rsidRPr="000477A6">
              <w:rPr>
                <w:rFonts w:ascii="Arial Narrow" w:hAnsi="Arial Narrow" w:cs="Arial"/>
                <w:i/>
                <w:sz w:val="20"/>
                <w:lang w:val="es-ES_tradnl"/>
              </w:rPr>
              <w:t>Introduction a la langue et a la litterature azteques</w:t>
            </w:r>
            <w:r w:rsidRPr="000477A6">
              <w:rPr>
                <w:rFonts w:ascii="Arial Narrow" w:hAnsi="Arial Narrow" w:cs="Arial"/>
                <w:sz w:val="20"/>
                <w:lang w:val="es-ES_tradnl"/>
              </w:rPr>
              <w:t>, 2 tomos, Paris, L’Harmattan, 1978.</w:t>
            </w:r>
          </w:p>
          <w:p w:rsidR="00881C46" w:rsidRPr="000477A6" w:rsidRDefault="00881C46" w:rsidP="00881C46">
            <w:pPr>
              <w:ind w:left="285" w:hanging="284"/>
              <w:rPr>
                <w:rFonts w:ascii="Arial Narrow" w:hAnsi="Arial Narrow" w:cs="Arial"/>
                <w:sz w:val="20"/>
                <w:lang w:val="es-ES_tradnl"/>
              </w:rPr>
            </w:pPr>
            <w:r w:rsidRPr="000477A6">
              <w:rPr>
                <w:rFonts w:ascii="Arial Narrow" w:hAnsi="Arial Narrow" w:cs="Arial"/>
                <w:sz w:val="20"/>
                <w:lang w:val="es-ES_tradnl"/>
              </w:rPr>
              <w:t xml:space="preserve">Launey, Michel, </w:t>
            </w:r>
            <w:r w:rsidRPr="000477A6">
              <w:rPr>
                <w:rFonts w:ascii="Arial Narrow" w:hAnsi="Arial Narrow" w:cs="Arial"/>
                <w:i/>
                <w:sz w:val="20"/>
                <w:lang w:val="es-ES_tradnl"/>
              </w:rPr>
              <w:t>Introducción a la lengua y la literatura náhuatl</w:t>
            </w:r>
            <w:r w:rsidRPr="000477A6">
              <w:rPr>
                <w:rFonts w:ascii="Arial Narrow" w:hAnsi="Arial Narrow" w:cs="Arial"/>
                <w:sz w:val="20"/>
                <w:lang w:val="es-ES_tradnl"/>
              </w:rPr>
              <w:t>, México, Universidad Nacional Autónoma de México, Instituto de Investigaciones Antropológicas, 1992.</w:t>
            </w:r>
          </w:p>
          <w:p w:rsidR="00881C46" w:rsidRPr="000477A6" w:rsidRDefault="00881C46" w:rsidP="00881C46">
            <w:pPr>
              <w:pStyle w:val="DefaultText"/>
              <w:widowControl/>
              <w:ind w:left="285" w:hanging="284"/>
              <w:jc w:val="both"/>
              <w:rPr>
                <w:rFonts w:ascii="Arial Narrow" w:hAnsi="Arial Narrow" w:cs="Garamond"/>
                <w:sz w:val="20"/>
              </w:rPr>
            </w:pPr>
            <w:r w:rsidRPr="000477A6">
              <w:rPr>
                <w:rFonts w:ascii="Arial Narrow" w:hAnsi="Arial Narrow" w:cs="Garamond"/>
                <w:sz w:val="20"/>
              </w:rPr>
              <w:t xml:space="preserve">Molina, Alonso de (fray), </w:t>
            </w:r>
            <w:r w:rsidRPr="000477A6">
              <w:rPr>
                <w:rFonts w:ascii="Arial Narrow" w:hAnsi="Arial Narrow" w:cs="Garamond"/>
                <w:i/>
                <w:iCs/>
                <w:sz w:val="20"/>
              </w:rPr>
              <w:t>Vocabulario de la lengua Castellana y Mexicana y Mexicana y Castellana</w:t>
            </w:r>
            <w:r w:rsidRPr="000477A6">
              <w:rPr>
                <w:rFonts w:ascii="Arial Narrow" w:hAnsi="Arial Narrow" w:cs="Garamond"/>
                <w:sz w:val="20"/>
              </w:rPr>
              <w:t>, 3a edición, México, Porrúa, 1992.</w:t>
            </w:r>
          </w:p>
          <w:p w:rsidR="00881C46" w:rsidRPr="000477A6" w:rsidRDefault="00881C46" w:rsidP="00881C46">
            <w:pPr>
              <w:pStyle w:val="DefaultText"/>
              <w:widowControl/>
              <w:ind w:left="285" w:hanging="284"/>
              <w:jc w:val="both"/>
              <w:rPr>
                <w:rFonts w:ascii="Arial Narrow" w:hAnsi="Arial Narrow" w:cs="Garamond"/>
                <w:sz w:val="20"/>
              </w:rPr>
            </w:pPr>
            <w:r w:rsidRPr="000477A6">
              <w:rPr>
                <w:rFonts w:ascii="Arial Narrow" w:hAnsi="Arial Narrow" w:cs="Garamond"/>
                <w:sz w:val="20"/>
              </w:rPr>
              <w:t xml:space="preserve">Simeón, Remí, </w:t>
            </w:r>
            <w:r w:rsidRPr="000477A6">
              <w:rPr>
                <w:rFonts w:ascii="Arial Narrow" w:hAnsi="Arial Narrow" w:cs="Garamond"/>
                <w:i/>
                <w:iCs/>
                <w:sz w:val="20"/>
              </w:rPr>
              <w:t>Diccionario de la lengua náhuatl o mexi</w:t>
            </w:r>
            <w:r>
              <w:rPr>
                <w:rFonts w:ascii="Arial Narrow" w:hAnsi="Arial Narrow" w:cs="Garamond"/>
                <w:i/>
                <w:iCs/>
                <w:sz w:val="20"/>
              </w:rPr>
              <w:t>c</w:t>
            </w:r>
            <w:r w:rsidRPr="000477A6">
              <w:rPr>
                <w:rFonts w:ascii="Arial Narrow" w:hAnsi="Arial Narrow" w:cs="Garamond"/>
                <w:i/>
                <w:iCs/>
                <w:sz w:val="20"/>
              </w:rPr>
              <w:t>ana</w:t>
            </w:r>
            <w:r w:rsidRPr="000477A6">
              <w:rPr>
                <w:rFonts w:ascii="Arial Narrow" w:hAnsi="Arial Narrow" w:cs="Garamond"/>
                <w:sz w:val="20"/>
              </w:rPr>
              <w:t>, México, Siglo XXI, 1997.</w:t>
            </w:r>
          </w:p>
          <w:p w:rsidR="00881C46" w:rsidRPr="000477A6" w:rsidRDefault="00881C46" w:rsidP="00881C46">
            <w:pPr>
              <w:pStyle w:val="DefaultText"/>
              <w:widowControl/>
              <w:ind w:left="285" w:hanging="284"/>
              <w:jc w:val="both"/>
              <w:rPr>
                <w:rFonts w:ascii="Arial Narrow" w:hAnsi="Arial Narrow"/>
                <w:sz w:val="20"/>
              </w:rPr>
            </w:pPr>
            <w:r w:rsidRPr="000477A6">
              <w:rPr>
                <w:rFonts w:ascii="Arial Narrow" w:hAnsi="Arial Narrow"/>
                <w:sz w:val="20"/>
              </w:rPr>
              <w:t xml:space="preserve">Sullivan, Thelma D., </w:t>
            </w:r>
            <w:r w:rsidRPr="000477A6">
              <w:rPr>
                <w:rFonts w:ascii="Arial Narrow" w:hAnsi="Arial Narrow"/>
                <w:i/>
                <w:sz w:val="20"/>
              </w:rPr>
              <w:t>Compendio de la gramática náhuatl</w:t>
            </w:r>
            <w:r w:rsidRPr="000477A6">
              <w:rPr>
                <w:rFonts w:ascii="Arial Narrow" w:hAnsi="Arial Narrow"/>
                <w:sz w:val="20"/>
              </w:rPr>
              <w:t>, México, UNAM-Instituto de Investigaciones Históricas, 1992.</w:t>
            </w:r>
          </w:p>
          <w:p w:rsidR="00881C46" w:rsidRPr="000C0FEF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0C0FEF">
              <w:rPr>
                <w:rFonts w:ascii="Arial Narrow" w:hAnsi="Arial Narrow"/>
                <w:sz w:val="20"/>
                <w:lang w:val="es-MX"/>
              </w:rPr>
              <w:t xml:space="preserve">Thouvenot, Marc, </w:t>
            </w:r>
            <w:r w:rsidRPr="000C0FEF">
              <w:rPr>
                <w:rFonts w:ascii="Arial Narrow" w:hAnsi="Arial Narrow"/>
                <w:i/>
                <w:sz w:val="20"/>
                <w:lang w:val="es-MX"/>
              </w:rPr>
              <w:t>Gran Diccionario Náhuatl</w:t>
            </w:r>
            <w:r w:rsidRPr="000C0FEF">
              <w:rPr>
                <w:rFonts w:ascii="Arial Narrow" w:hAnsi="Arial Narrow"/>
                <w:sz w:val="20"/>
                <w:lang w:val="es-MX"/>
              </w:rPr>
              <w:t>, plataforma electrónica.</w:t>
            </w:r>
          </w:p>
          <w:p w:rsidR="00881C46" w:rsidRPr="000C0FEF" w:rsidRDefault="00881C46" w:rsidP="00881C46">
            <w:pPr>
              <w:ind w:left="285" w:hanging="284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0C0FEF">
              <w:rPr>
                <w:rFonts w:ascii="Arial Narrow" w:hAnsi="Arial Narrow"/>
                <w:sz w:val="20"/>
                <w:lang w:val="es-MX"/>
              </w:rPr>
              <w:t xml:space="preserve">Thouvenot, Marc, </w:t>
            </w:r>
            <w:r w:rsidRPr="000C0FEF">
              <w:rPr>
                <w:rFonts w:ascii="Arial Narrow" w:hAnsi="Arial Narrow"/>
                <w:i/>
                <w:sz w:val="20"/>
                <w:lang w:val="es-MX"/>
              </w:rPr>
              <w:t>Temoa</w:t>
            </w:r>
            <w:r w:rsidRPr="000C0FEF">
              <w:rPr>
                <w:rFonts w:ascii="Arial Narrow" w:hAnsi="Arial Narrow"/>
                <w:sz w:val="20"/>
                <w:lang w:val="es-MX"/>
              </w:rPr>
              <w:t>, plataforma electrónica.</w:t>
            </w:r>
          </w:p>
          <w:p w:rsidR="00881C46" w:rsidRPr="000477A6" w:rsidRDefault="00881C46" w:rsidP="00881C46">
            <w:pPr>
              <w:pStyle w:val="DefaultText"/>
              <w:widowControl/>
              <w:ind w:left="285" w:hanging="284"/>
              <w:jc w:val="both"/>
              <w:rPr>
                <w:rFonts w:ascii="Arial Narrow" w:hAnsi="Arial Narrow" w:cs="Garamond"/>
                <w:sz w:val="20"/>
              </w:rPr>
            </w:pPr>
            <w:r w:rsidRPr="000477A6">
              <w:rPr>
                <w:rFonts w:ascii="Arial Narrow" w:hAnsi="Arial Narrow" w:cs="Garamond"/>
                <w:sz w:val="20"/>
              </w:rPr>
              <w:t xml:space="preserve">Wimmer, Alexis, </w:t>
            </w:r>
            <w:r w:rsidRPr="000477A6">
              <w:rPr>
                <w:rFonts w:ascii="Arial Narrow" w:hAnsi="Arial Narrow" w:cs="Garamond"/>
                <w:i/>
                <w:iCs/>
                <w:sz w:val="20"/>
              </w:rPr>
              <w:t xml:space="preserve">Dictionnaire de la langue nahuatl classique </w:t>
            </w:r>
            <w:r w:rsidRPr="000477A6">
              <w:rPr>
                <w:rFonts w:ascii="Arial Narrow" w:hAnsi="Arial Narrow" w:cs="Garamond"/>
                <w:sz w:val="20"/>
              </w:rPr>
              <w:t>[www.ifrance.com/nahuatl].</w:t>
            </w:r>
          </w:p>
          <w:p w:rsidR="00881C46" w:rsidRDefault="00881C46" w:rsidP="00881C46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:rsidR="00881C46" w:rsidRDefault="00881C46" w:rsidP="00881C46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lastRenderedPageBreak/>
              <w:t>Gramáticas y diccionarios de la lengua española: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>Alarcos Llorach, Emilio, Gramática de la lengua española, Madrid, Espasa, 1994.</w:t>
            </w:r>
          </w:p>
          <w:p w:rsidR="00881C46" w:rsidRPr="003A6447" w:rsidRDefault="00881C46" w:rsidP="00881C46">
            <w:pPr>
              <w:pStyle w:val="DefaultText"/>
              <w:widowControl/>
              <w:ind w:left="341" w:hanging="340"/>
              <w:jc w:val="both"/>
              <w:rPr>
                <w:rFonts w:ascii="Arial Narrow" w:hAnsi="Arial Narrow" w:cs="Garamond"/>
                <w:sz w:val="20"/>
              </w:rPr>
            </w:pPr>
            <w:r w:rsidRPr="003A6447">
              <w:rPr>
                <w:rFonts w:ascii="Arial Narrow" w:hAnsi="Arial Narrow" w:cs="Garamond"/>
                <w:sz w:val="20"/>
              </w:rPr>
              <w:t xml:space="preserve">Alonso Pedraz, Martín, </w:t>
            </w:r>
            <w:r w:rsidRPr="003A6447">
              <w:rPr>
                <w:rFonts w:ascii="Arial Narrow" w:hAnsi="Arial Narrow" w:cs="Garamond"/>
                <w:i/>
                <w:iCs/>
                <w:sz w:val="20"/>
              </w:rPr>
              <w:t>Enciclopedia del idioma: Diccionario histórico y moderno de la lengua española, siglos XII al XX</w:t>
            </w:r>
            <w:r w:rsidRPr="003A6447">
              <w:rPr>
                <w:rFonts w:ascii="Arial Narrow" w:hAnsi="Arial Narrow" w:cs="Garamond"/>
                <w:sz w:val="20"/>
              </w:rPr>
              <w:t>, 3 vols., Madrid, Aguilar, 1982.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Bello, Andrés y Rufino José Cuervo,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Gramática de la lengua castellana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>, Buenos Aires, Sopena, 1960.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Benito Mozas, Antonio,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Gramática práctica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>, Madrid, EDAF, 1992.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Gili Gaya, Samuel,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Curso superio</w:t>
            </w:r>
            <w:r>
              <w:rPr>
                <w:rFonts w:ascii="Arial Narrow" w:hAnsi="Arial Narrow" w:cs="Arial"/>
                <w:i/>
                <w:sz w:val="20"/>
                <w:lang w:val="es-ES_tradnl"/>
              </w:rPr>
              <w:t>r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de sintaxis española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, Barcelona, VOX, 2000. 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Lara, L. F.,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Diccionario del español usual en México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>, México, El Colegio de México, 2005.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Moliner, María,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Diccionario de uso del español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>, 2 vols., Madrid, Gredos, 1977.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Real Academia Española,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Diccionario panhispánico de dudas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>, Bogota, RAE, 2005.</w:t>
            </w:r>
          </w:p>
          <w:p w:rsidR="00881C46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Real Academia Española,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Diccionario de la lengua española</w:t>
            </w:r>
            <w:r>
              <w:rPr>
                <w:rFonts w:ascii="Arial Narrow" w:hAnsi="Arial Narrow" w:cs="Arial"/>
                <w:sz w:val="20"/>
                <w:lang w:val="es-ES_tradnl"/>
              </w:rPr>
              <w:t xml:space="preserve"> [www.rae.es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>].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 xml:space="preserve">Real Academia Española, </w:t>
            </w:r>
            <w:r w:rsidRPr="00210F5F">
              <w:rPr>
                <w:rFonts w:ascii="Arial Narrow" w:hAnsi="Arial Narrow" w:cs="Arial"/>
                <w:i/>
                <w:sz w:val="20"/>
                <w:lang w:val="es-ES_tradnl"/>
              </w:rPr>
              <w:t>Nueva gramática de la lengua española, Manual</w:t>
            </w:r>
            <w:r>
              <w:rPr>
                <w:rFonts w:ascii="Arial Narrow" w:hAnsi="Arial Narrow" w:cs="Arial"/>
                <w:sz w:val="20"/>
                <w:lang w:val="es-ES_tradnl"/>
              </w:rPr>
              <w:t>, México, Espasa, 2010.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Real Academia Española,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Ortografía de la lengua española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>, México, Espasa, 2011.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Seco, Manuel,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Diccionario de dudas y dificultades de la lengua española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>, Madrid, Espasa, 1992.</w:t>
            </w:r>
          </w:p>
          <w:p w:rsidR="00881C46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  <w:r w:rsidRPr="003A6447">
              <w:rPr>
                <w:rFonts w:ascii="Arial Narrow" w:hAnsi="Arial Narrow" w:cs="Arial"/>
                <w:sz w:val="20"/>
                <w:lang w:val="es-ES_tradnl"/>
              </w:rPr>
              <w:t xml:space="preserve">Seco, Manuel, </w:t>
            </w:r>
            <w:r w:rsidRPr="003A6447">
              <w:rPr>
                <w:rFonts w:ascii="Arial Narrow" w:hAnsi="Arial Narrow" w:cs="Arial"/>
                <w:i/>
                <w:sz w:val="20"/>
                <w:lang w:val="es-ES_tradnl"/>
              </w:rPr>
              <w:t>Gramática esencial del español</w:t>
            </w:r>
            <w:r w:rsidRPr="003A6447">
              <w:rPr>
                <w:rFonts w:ascii="Arial Narrow" w:hAnsi="Arial Narrow" w:cs="Arial"/>
                <w:sz w:val="20"/>
                <w:lang w:val="es-ES_tradnl"/>
              </w:rPr>
              <w:t>, Madrid, Aguilar, 1972.</w:t>
            </w:r>
          </w:p>
          <w:p w:rsidR="00881C46" w:rsidRPr="003A6447" w:rsidRDefault="00881C46" w:rsidP="00881C46">
            <w:pPr>
              <w:ind w:left="341" w:hanging="340"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881C46" w:rsidRPr="000E1F51">
        <w:trPr>
          <w:trHeight w:val="1049"/>
          <w:jc w:val="center"/>
        </w:trPr>
        <w:tc>
          <w:tcPr>
            <w:tcW w:w="4140" w:type="dxa"/>
          </w:tcPr>
          <w:p w:rsidR="00881C46" w:rsidRPr="000E1F51" w:rsidRDefault="00881C46" w:rsidP="00881C4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lastRenderedPageBreak/>
              <w:t>Sugerencias didáctica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s: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Exposición oral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Exposici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ón audiovisual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(X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Ejercicios dentro de clase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Ejercicios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fuera del aula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(X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Seminarios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(X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Lecturas obligatorias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                (X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Trabajo de investigación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Prácticas de taller o laboratorio                  ( 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Prácticas de campo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                (  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Otras: ____________________                (  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4500" w:type="dxa"/>
          </w:tcPr>
          <w:p w:rsidR="00881C46" w:rsidRPr="000E1F51" w:rsidRDefault="00881C46" w:rsidP="00881C4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Mecanismos de evaluación del aprendizaje de los alumnos: 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Exámenes p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arciales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   ( 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Examen final escrito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   ( 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Trabajos y tareas fuer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a del aula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   (X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Exposición de s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eminarios por los alumnos    (X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Participación en clase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                (X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Asistencia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                                      (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>Seminario                                                       (  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Otras:                            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                 </w:t>
            </w:r>
            <w:r w:rsidRPr="000E1F51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(  )</w:t>
            </w:r>
          </w:p>
          <w:p w:rsidR="00881C46" w:rsidRPr="000E1F51" w:rsidRDefault="00881C46" w:rsidP="00881C46">
            <w:pPr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</w:tbl>
    <w:p w:rsidR="00881C46" w:rsidRPr="000E1F51" w:rsidRDefault="00881C46" w:rsidP="00881C46">
      <w:pPr>
        <w:rPr>
          <w:rFonts w:ascii="Arial Narrow" w:hAnsi="Arial Narrow"/>
          <w:b/>
          <w:sz w:val="20"/>
          <w:u w:val="single"/>
          <w:lang w:val="es-ES_tradnl"/>
        </w:rPr>
      </w:pPr>
    </w:p>
    <w:sectPr w:rsidR="00881C46" w:rsidRPr="000E1F51" w:rsidSect="00881C46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81" w:rsidRDefault="00ED3281" w:rsidP="00881C46">
      <w:r>
        <w:separator/>
      </w:r>
    </w:p>
  </w:endnote>
  <w:endnote w:type="continuationSeparator" w:id="0">
    <w:p w:rsidR="00ED3281" w:rsidRDefault="00ED3281" w:rsidP="0088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46" w:rsidRDefault="00881C46" w:rsidP="00881C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2DF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881C46" w:rsidRDefault="00881C46" w:rsidP="00881C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46" w:rsidRDefault="00881C46" w:rsidP="00881C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2DF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D43B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81C46" w:rsidRDefault="00881C46" w:rsidP="00881C4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81" w:rsidRDefault="00ED3281" w:rsidP="00881C46">
      <w:r>
        <w:separator/>
      </w:r>
    </w:p>
  </w:footnote>
  <w:footnote w:type="continuationSeparator" w:id="0">
    <w:p w:rsidR="00ED3281" w:rsidRDefault="00ED3281" w:rsidP="00881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32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36"/>
  </w:num>
  <w:num w:numId="4">
    <w:abstractNumId w:val="17"/>
  </w:num>
  <w:num w:numId="5">
    <w:abstractNumId w:val="41"/>
  </w:num>
  <w:num w:numId="6">
    <w:abstractNumId w:val="42"/>
  </w:num>
  <w:num w:numId="7">
    <w:abstractNumId w:val="26"/>
  </w:num>
  <w:num w:numId="8">
    <w:abstractNumId w:val="9"/>
  </w:num>
  <w:num w:numId="9">
    <w:abstractNumId w:val="32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2"/>
  </w:num>
  <w:num w:numId="19">
    <w:abstractNumId w:val="3"/>
  </w:num>
  <w:num w:numId="20">
    <w:abstractNumId w:val="37"/>
  </w:num>
  <w:num w:numId="21">
    <w:abstractNumId w:val="18"/>
  </w:num>
  <w:num w:numId="22">
    <w:abstractNumId w:val="23"/>
  </w:num>
  <w:num w:numId="23">
    <w:abstractNumId w:val="1"/>
  </w:num>
  <w:num w:numId="24">
    <w:abstractNumId w:val="15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4"/>
  </w:num>
  <w:num w:numId="30">
    <w:abstractNumId w:val="8"/>
  </w:num>
  <w:num w:numId="31">
    <w:abstractNumId w:val="29"/>
  </w:num>
  <w:num w:numId="32">
    <w:abstractNumId w:val="21"/>
  </w:num>
  <w:num w:numId="33">
    <w:abstractNumId w:val="10"/>
  </w:num>
  <w:num w:numId="34">
    <w:abstractNumId w:val="30"/>
  </w:num>
  <w:num w:numId="35">
    <w:abstractNumId w:val="16"/>
  </w:num>
  <w:num w:numId="36">
    <w:abstractNumId w:val="14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  <w:num w:numId="41">
    <w:abstractNumId w:val="6"/>
  </w:num>
  <w:num w:numId="42">
    <w:abstractNumId w:val="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C0FEF"/>
    <w:rsid w:val="00324525"/>
    <w:rsid w:val="00881C46"/>
    <w:rsid w:val="00D57EF8"/>
    <w:rsid w:val="00D72DF0"/>
    <w:rsid w:val="00EA3531"/>
    <w:rsid w:val="00ED3281"/>
    <w:rsid w:val="00FD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styleId="Listaclara-nfasis3">
    <w:name w:val="Light List Accent 3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Puesto">
    <w:name w:val="Puesto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styleId="Cuadrculaclara-nfasis3">
    <w:name w:val="Light Grid Accent 3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">
    <w:name w:val="Revision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">
    <w:name w:val="Subtle Emphasis"/>
    <w:rsid w:val="000546D0"/>
    <w:rPr>
      <w:rFonts w:cs="Times New Roman"/>
      <w:i/>
      <w:iCs/>
      <w:color w:val="808080"/>
    </w:rPr>
  </w:style>
  <w:style w:type="paragraph" w:customStyle="1" w:styleId="NoSpacing">
    <w:name w:val="No Spacing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 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 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">
    <w:name w:val="Body Text 3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customStyle="1" w:styleId="DefaultText">
    <w:name w:val="Default Text"/>
    <w:basedOn w:val="Normal"/>
    <w:uiPriority w:val="99"/>
    <w:rsid w:val="003917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1666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ESTUDIOS SEGÚN FORMATO</vt:lpstr>
      <vt:lpstr>PLAN DE ESTUDIOS SEGÚN FORMATO</vt:lpstr>
    </vt:vector>
  </TitlesOfParts>
  <Company>ILIA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2</cp:revision>
  <cp:lastPrinted>2016-05-17T01:39:00Z</cp:lastPrinted>
  <dcterms:created xsi:type="dcterms:W3CDTF">2016-12-01T16:34:00Z</dcterms:created>
  <dcterms:modified xsi:type="dcterms:W3CDTF">2016-12-01T16:34:00Z</dcterms:modified>
</cp:coreProperties>
</file>